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72"/>
        </w:rPr>
      </w:pPr>
    </w:p>
    <w:p>
      <w:pPr>
        <w:jc w:val="center"/>
        <w:rPr>
          <w:b/>
          <w:sz w:val="52"/>
        </w:rPr>
      </w:pPr>
    </w:p>
    <w:p>
      <w:pPr>
        <w:jc w:val="center"/>
        <w:rPr>
          <w:b/>
        </w:rPr>
      </w:pPr>
    </w:p>
    <w:p>
      <w:pPr>
        <w:jc w:val="center"/>
        <w:rPr>
          <w:b/>
          <w:sz w:val="140"/>
        </w:rPr>
      </w:pPr>
      <w:r>
        <w:rPr>
          <w:rFonts w:hint="eastAsia" w:cs="宋体"/>
          <w:b/>
          <w:sz w:val="140"/>
        </w:rPr>
        <w:t>招标文件</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
      <w:pPr>
        <w:ind w:firstLine="1680" w:firstLineChars="600"/>
        <w:rPr>
          <w:u w:val="single"/>
        </w:rPr>
      </w:pPr>
      <w:r>
        <w:rPr>
          <w:rFonts w:hint="eastAsia" w:cs="宋体"/>
          <w:b/>
          <w:sz w:val="28"/>
        </w:rPr>
        <w:t>项目名称：</w:t>
      </w:r>
      <w:r>
        <w:rPr>
          <w:rFonts w:hint="eastAsia"/>
          <w:sz w:val="28"/>
          <w:u w:val="single"/>
        </w:rPr>
        <w:t xml:space="preserve">  </w:t>
      </w:r>
      <w:r>
        <w:rPr>
          <w:rFonts w:hint="eastAsia"/>
          <w:sz w:val="28"/>
          <w:u w:val="single"/>
          <w:lang w:val="en-US" w:eastAsia="zh-CN"/>
        </w:rPr>
        <w:t xml:space="preserve">    工控网络安全建设     </w:t>
      </w:r>
      <w:r>
        <w:rPr>
          <w:rFonts w:hint="eastAsia"/>
          <w:sz w:val="28"/>
          <w:u w:val="single"/>
        </w:rPr>
        <w:t xml:space="preserve">  </w:t>
      </w:r>
    </w:p>
    <w:p>
      <w:pPr>
        <w:ind w:firstLine="1570"/>
        <w:jc w:val="center"/>
        <w:rPr>
          <w:b/>
          <w:sz w:val="28"/>
        </w:rPr>
      </w:pPr>
    </w:p>
    <w:p>
      <w:pPr>
        <w:ind w:firstLine="1680" w:firstLineChars="600"/>
        <w:rPr>
          <w:sz w:val="28"/>
          <w:u w:val="single"/>
        </w:rPr>
      </w:pPr>
      <w:r>
        <w:rPr>
          <w:rFonts w:hint="eastAsia" w:cs="宋体"/>
          <w:b/>
          <w:sz w:val="28"/>
        </w:rPr>
        <w:t>计划令号：</w:t>
      </w:r>
      <w:r>
        <w:rPr>
          <w:rFonts w:hint="eastAsia" w:cs="宋体"/>
          <w:b w:val="0"/>
          <w:bCs/>
          <w:sz w:val="28"/>
          <w:u w:val="single"/>
          <w:lang w:val="en-US" w:eastAsia="zh-CN"/>
        </w:rPr>
        <w:t xml:space="preserve">        GJ2023073-LS   </w:t>
      </w:r>
      <w:r>
        <w:rPr>
          <w:rFonts w:hint="eastAsia"/>
          <w:sz w:val="28"/>
          <w:u w:val="single"/>
          <w:lang w:val="en-US" w:eastAsia="zh-CN"/>
        </w:rPr>
        <w:t xml:space="preserve">    </w:t>
      </w:r>
      <w:r>
        <w:rPr>
          <w:rFonts w:hint="eastAsia"/>
          <w:sz w:val="28"/>
          <w:u w:val="single"/>
        </w:rPr>
        <w:t xml:space="preserve"> </w:t>
      </w:r>
    </w:p>
    <w:p>
      <w:pPr>
        <w:ind w:firstLine="1680" w:firstLineChars="600"/>
        <w:rPr>
          <w:b/>
          <w:sz w:val="28"/>
        </w:rPr>
      </w:pPr>
    </w:p>
    <w:p>
      <w:pPr>
        <w:ind w:firstLine="1680" w:firstLineChars="600"/>
        <w:rPr>
          <w:rFonts w:hint="default" w:eastAsia="宋体"/>
          <w:sz w:val="28"/>
          <w:lang w:val="en-US" w:eastAsia="zh-CN"/>
        </w:rPr>
      </w:pPr>
      <w:r>
        <w:rPr>
          <w:rFonts w:hint="eastAsia" w:cs="宋体"/>
          <w:b/>
          <w:sz w:val="28"/>
        </w:rPr>
        <w:t>招标单位</w:t>
      </w:r>
      <w:r>
        <w:rPr>
          <w:rFonts w:hint="eastAsia" w:cs="宋体"/>
          <w:sz w:val="28"/>
          <w:u w:val="none"/>
        </w:rPr>
        <w:t>：</w:t>
      </w:r>
      <w:r>
        <w:rPr>
          <w:rFonts w:hint="eastAsia" w:cs="宋体"/>
          <w:sz w:val="28"/>
          <w:u w:val="single"/>
          <w:lang w:val="en-US" w:eastAsia="zh-CN"/>
        </w:rPr>
        <w:t xml:space="preserve">  </w:t>
      </w:r>
      <w:r>
        <w:rPr>
          <w:rFonts w:hint="eastAsia" w:cs="宋体"/>
          <w:b w:val="0"/>
          <w:bCs/>
          <w:sz w:val="28"/>
          <w:u w:val="single"/>
          <w:lang w:val="en-US" w:eastAsia="zh-CN"/>
        </w:rPr>
        <w:t xml:space="preserve"> 贵州航天林泉电机有限公司  </w:t>
      </w:r>
      <w:r>
        <w:rPr>
          <w:rFonts w:hint="eastAsia" w:cs="宋体"/>
          <w:sz w:val="28"/>
          <w:u w:val="single"/>
          <w:lang w:val="en-US" w:eastAsia="zh-CN"/>
        </w:rPr>
        <w:t xml:space="preserve"> </w:t>
      </w:r>
    </w:p>
    <w:p>
      <w:pPr>
        <w:jc w:val="center"/>
      </w:pPr>
    </w:p>
    <w:p>
      <w:pPr>
        <w:jc w:val="center"/>
      </w:pPr>
    </w:p>
    <w:p>
      <w:pPr>
        <w:jc w:val="center"/>
      </w:pPr>
    </w:p>
    <w:p>
      <w:pPr>
        <w:jc w:val="center"/>
      </w:pPr>
    </w:p>
    <w:p>
      <w:pPr>
        <w:jc w:val="center"/>
      </w:pPr>
    </w:p>
    <w:p>
      <w:pPr>
        <w:tabs>
          <w:tab w:val="left" w:pos="1440"/>
          <w:tab w:val="left" w:pos="1620"/>
        </w:tabs>
        <w:spacing w:line="360" w:lineRule="auto"/>
        <w:jc w:val="center"/>
      </w:pPr>
    </w:p>
    <w:p>
      <w:pPr>
        <w:tabs>
          <w:tab w:val="left" w:pos="1440"/>
          <w:tab w:val="left" w:pos="1620"/>
        </w:tabs>
        <w:spacing w:line="360" w:lineRule="auto"/>
        <w:jc w:val="center"/>
      </w:pPr>
    </w:p>
    <w:p>
      <w:pPr>
        <w:spacing w:line="360" w:lineRule="auto"/>
        <w:rPr>
          <w:rFonts w:ascii="宋体" w:hAnsi="宋体"/>
        </w:rPr>
        <w:sectPr>
          <w:pgSz w:w="11906" w:h="16838"/>
          <w:pgMar w:top="1418" w:right="1418" w:bottom="1293" w:left="1418" w:header="851" w:footer="454" w:gutter="284"/>
          <w:cols w:space="720" w:num="1"/>
          <w:docGrid w:type="linesAndChars" w:linePitch="312" w:charSpace="0"/>
        </w:sectPr>
      </w:pPr>
    </w:p>
    <w:p>
      <w:pPr>
        <w:spacing w:line="360" w:lineRule="auto"/>
        <w:jc w:val="center"/>
        <w:rPr>
          <w:b/>
          <w:sz w:val="10"/>
        </w:rPr>
      </w:pPr>
      <w:r>
        <w:rPr>
          <w:rFonts w:hint="eastAsia" w:cs="宋体"/>
          <w:b/>
          <w:sz w:val="32"/>
        </w:rPr>
        <w:t>第一部分投标邀请</w:t>
      </w:r>
    </w:p>
    <w:p>
      <w:pPr>
        <w:spacing w:line="360" w:lineRule="auto"/>
        <w:ind w:firstLine="482" w:firstLineChars="200"/>
        <w:rPr>
          <w:sz w:val="24"/>
        </w:rPr>
      </w:pPr>
      <w:r>
        <w:rPr>
          <w:rFonts w:hint="eastAsia" w:cs="宋体"/>
          <w:b/>
          <w:sz w:val="24"/>
          <w:u w:val="single"/>
        </w:rPr>
        <w:t>贵州航天林泉电机有限公司</w:t>
      </w:r>
      <w:r>
        <w:rPr>
          <w:rFonts w:hint="eastAsia" w:cs="宋体"/>
          <w:sz w:val="24"/>
        </w:rPr>
        <w:t>（以下称“招标人”）对</w:t>
      </w:r>
      <w:r>
        <w:rPr>
          <w:rFonts w:hint="eastAsia" w:cs="宋体"/>
          <w:b/>
          <w:sz w:val="28"/>
          <w:u w:val="single"/>
          <w:lang w:eastAsia="zh-CN"/>
        </w:rPr>
        <w:t>工控网络安全建设</w:t>
      </w:r>
      <w:r>
        <w:rPr>
          <w:rFonts w:hint="eastAsia" w:cs="宋体"/>
          <w:sz w:val="24"/>
        </w:rPr>
        <w:t>项目进行招标。招标情况如下：</w:t>
      </w:r>
    </w:p>
    <w:p>
      <w:pPr>
        <w:numPr>
          <w:ilvl w:val="0"/>
          <w:numId w:val="2"/>
        </w:numPr>
        <w:spacing w:line="360" w:lineRule="auto"/>
        <w:rPr>
          <w:sz w:val="24"/>
        </w:rPr>
      </w:pPr>
      <w:r>
        <w:rPr>
          <w:rFonts w:hint="eastAsia" w:cs="宋体"/>
          <w:sz w:val="24"/>
        </w:rPr>
        <w:t>招标货物名称：</w:t>
      </w:r>
      <w:r>
        <w:rPr>
          <w:rFonts w:hint="eastAsia" w:cs="宋体"/>
          <w:sz w:val="24"/>
          <w:lang w:val="en-US" w:eastAsia="zh-CN"/>
        </w:rPr>
        <w:t>工控网络安全建设</w:t>
      </w:r>
    </w:p>
    <w:p>
      <w:pPr>
        <w:numPr>
          <w:ilvl w:val="0"/>
          <w:numId w:val="2"/>
        </w:numPr>
        <w:spacing w:line="360" w:lineRule="auto"/>
        <w:rPr>
          <w:sz w:val="24"/>
        </w:rPr>
      </w:pPr>
      <w:r>
        <w:rPr>
          <w:rFonts w:hint="eastAsia" w:cs="宋体"/>
          <w:sz w:val="24"/>
        </w:rPr>
        <w:t>数量：</w:t>
      </w:r>
      <w:r>
        <w:rPr>
          <w:rFonts w:hint="eastAsia" w:cs="宋体"/>
          <w:sz w:val="24"/>
          <w:lang w:val="en-US" w:eastAsia="zh-CN"/>
        </w:rPr>
        <w:t>1</w:t>
      </w:r>
    </w:p>
    <w:p>
      <w:pPr>
        <w:numPr>
          <w:ilvl w:val="0"/>
          <w:numId w:val="2"/>
        </w:numPr>
        <w:spacing w:line="360" w:lineRule="auto"/>
        <w:rPr>
          <w:sz w:val="24"/>
        </w:rPr>
      </w:pPr>
      <w:r>
        <w:rPr>
          <w:rFonts w:hint="eastAsia" w:cs="宋体"/>
          <w:sz w:val="24"/>
        </w:rPr>
        <w:t>主要技术规格：见本招标文件第二部分</w:t>
      </w:r>
    </w:p>
    <w:p>
      <w:pPr>
        <w:numPr>
          <w:ilvl w:val="0"/>
          <w:numId w:val="2"/>
        </w:numPr>
        <w:spacing w:line="360" w:lineRule="auto"/>
        <w:rPr>
          <w:sz w:val="24"/>
        </w:rPr>
      </w:pPr>
      <w:r>
        <w:rPr>
          <w:rFonts w:hint="eastAsia" w:cs="宋体"/>
          <w:bCs/>
          <w:sz w:val="24"/>
        </w:rPr>
        <w:t>交货地点：</w:t>
      </w:r>
      <w:r>
        <w:rPr>
          <w:rFonts w:hint="eastAsia" w:cs="宋体"/>
          <w:sz w:val="24"/>
        </w:rPr>
        <w:t>招标人</w:t>
      </w:r>
      <w:r>
        <w:rPr>
          <w:rFonts w:hint="eastAsia" w:cs="宋体"/>
          <w:bCs/>
          <w:sz w:val="24"/>
        </w:rPr>
        <w:t>指定</w:t>
      </w:r>
    </w:p>
    <w:p>
      <w:pPr>
        <w:numPr>
          <w:ilvl w:val="0"/>
          <w:numId w:val="2"/>
        </w:numPr>
        <w:spacing w:line="360" w:lineRule="auto"/>
        <w:rPr>
          <w:sz w:val="24"/>
        </w:rPr>
      </w:pPr>
      <w:r>
        <w:rPr>
          <w:rFonts w:hint="eastAsia" w:cs="宋体"/>
          <w:bCs/>
          <w:sz w:val="24"/>
        </w:rPr>
        <w:t>商务材料：营业执照、纳税证明、相关资质证明、业绩证明材料、交货周期、售后服务等</w:t>
      </w:r>
    </w:p>
    <w:p>
      <w:pPr>
        <w:numPr>
          <w:ilvl w:val="0"/>
          <w:numId w:val="2"/>
        </w:numPr>
        <w:spacing w:line="360" w:lineRule="auto"/>
        <w:rPr>
          <w:sz w:val="24"/>
        </w:rPr>
      </w:pPr>
      <w:r>
        <w:rPr>
          <w:rFonts w:hint="eastAsia" w:cs="宋体"/>
          <w:sz w:val="24"/>
        </w:rPr>
        <w:t>投标截止时间：</w:t>
      </w:r>
      <w:r>
        <w:rPr>
          <w:sz w:val="24"/>
          <w:highlight w:val="yellow"/>
        </w:rPr>
        <w:t>202</w:t>
      </w:r>
      <w:r>
        <w:rPr>
          <w:rFonts w:hint="eastAsia"/>
          <w:sz w:val="24"/>
          <w:highlight w:val="yellow"/>
          <w:lang w:val="en-US" w:eastAsia="zh-CN"/>
        </w:rPr>
        <w:t>3</w:t>
      </w:r>
      <w:r>
        <w:rPr>
          <w:rFonts w:hint="eastAsia" w:cs="宋体"/>
          <w:sz w:val="24"/>
          <w:highlight w:val="yellow"/>
        </w:rPr>
        <w:t>年</w:t>
      </w:r>
      <w:r>
        <w:rPr>
          <w:rFonts w:hint="eastAsia" w:cs="宋体"/>
          <w:sz w:val="24"/>
          <w:highlight w:val="yellow"/>
          <w:lang w:val="en-US" w:eastAsia="zh-CN"/>
        </w:rPr>
        <w:t>12</w:t>
      </w:r>
      <w:r>
        <w:rPr>
          <w:rFonts w:hint="eastAsia" w:cs="宋体"/>
          <w:sz w:val="24"/>
          <w:highlight w:val="yellow"/>
        </w:rPr>
        <w:t>月</w:t>
      </w:r>
      <w:r>
        <w:rPr>
          <w:rFonts w:hint="eastAsia" w:cs="宋体"/>
          <w:sz w:val="24"/>
          <w:highlight w:val="yellow"/>
          <w:lang w:val="en-US" w:eastAsia="zh-CN"/>
        </w:rPr>
        <w:t>20</w:t>
      </w:r>
      <w:r>
        <w:rPr>
          <w:rFonts w:hint="eastAsia" w:cs="宋体"/>
          <w:sz w:val="24"/>
          <w:highlight w:val="yellow"/>
        </w:rPr>
        <w:t>日下午</w:t>
      </w:r>
      <w:r>
        <w:rPr>
          <w:sz w:val="24"/>
          <w:highlight w:val="yellow"/>
        </w:rPr>
        <w:t>2</w:t>
      </w:r>
      <w:r>
        <w:rPr>
          <w:rFonts w:hint="eastAsia" w:cs="宋体"/>
          <w:sz w:val="24"/>
          <w:highlight w:val="yellow"/>
        </w:rPr>
        <w:t>：</w:t>
      </w:r>
      <w:r>
        <w:rPr>
          <w:sz w:val="24"/>
          <w:highlight w:val="yellow"/>
        </w:rPr>
        <w:t>00</w:t>
      </w:r>
      <w:r>
        <w:rPr>
          <w:rFonts w:hint="eastAsia" w:cs="宋体"/>
          <w:sz w:val="24"/>
          <w:highlight w:val="yellow"/>
        </w:rPr>
        <w:t>时（北京时间）</w:t>
      </w:r>
      <w:r>
        <w:rPr>
          <w:rFonts w:hint="eastAsia" w:cs="宋体"/>
          <w:sz w:val="24"/>
        </w:rPr>
        <w:t>，逾期收</w:t>
      </w:r>
    </w:p>
    <w:p>
      <w:pPr>
        <w:spacing w:line="360" w:lineRule="auto"/>
        <w:rPr>
          <w:sz w:val="24"/>
        </w:rPr>
      </w:pPr>
      <w:r>
        <w:rPr>
          <w:rFonts w:hint="eastAsia" w:cs="宋体"/>
          <w:sz w:val="24"/>
        </w:rPr>
        <w:t>到或不符合规定的投标文件恕不接受</w:t>
      </w:r>
    </w:p>
    <w:p>
      <w:pPr>
        <w:numPr>
          <w:ilvl w:val="0"/>
          <w:numId w:val="2"/>
        </w:numPr>
        <w:spacing w:line="360" w:lineRule="auto"/>
        <w:rPr>
          <w:sz w:val="24"/>
        </w:rPr>
      </w:pPr>
      <w:r>
        <w:rPr>
          <w:rFonts w:hint="eastAsia" w:cs="宋体"/>
          <w:sz w:val="24"/>
        </w:rPr>
        <w:t>开标时间、地点：</w:t>
      </w:r>
      <w:r>
        <w:rPr>
          <w:rFonts w:hint="eastAsia" w:cs="宋体"/>
          <w:sz w:val="24"/>
          <w:highlight w:val="yellow"/>
          <w:lang w:val="en-US" w:eastAsia="zh-CN"/>
        </w:rPr>
        <w:t>投标截止后一周</w:t>
      </w:r>
      <w:r>
        <w:rPr>
          <w:rFonts w:hint="eastAsia" w:cs="宋体"/>
          <w:sz w:val="24"/>
        </w:rPr>
        <w:t>于贵州航天林泉电机有限公司会议室</w:t>
      </w:r>
    </w:p>
    <w:p>
      <w:pPr>
        <w:numPr>
          <w:ilvl w:val="0"/>
          <w:numId w:val="2"/>
        </w:numPr>
        <w:spacing w:line="360" w:lineRule="auto"/>
        <w:ind w:left="420" w:firstLine="0"/>
        <w:rPr>
          <w:rFonts w:cs="宋体"/>
          <w:sz w:val="24"/>
        </w:rPr>
      </w:pPr>
      <w:r>
        <w:rPr>
          <w:rFonts w:hint="eastAsia" w:cs="宋体"/>
          <w:sz w:val="24"/>
        </w:rPr>
        <w:t>设备付款方式</w:t>
      </w:r>
    </w:p>
    <w:p>
      <w:pPr>
        <w:spacing w:line="360" w:lineRule="auto"/>
        <w:ind w:left="420"/>
        <w:rPr>
          <w:rFonts w:cs="宋体"/>
          <w:sz w:val="24"/>
        </w:rPr>
      </w:pPr>
      <w:r>
        <w:rPr>
          <w:rFonts w:hint="eastAsia" w:cs="宋体"/>
          <w:sz w:val="24"/>
        </w:rPr>
        <w:t>本次招标对中标价的设备款付款方式原则上为招标方预付款30%，设备到位安装调试合格后付款60%，设备质保期一年满后10日内付10%的余款。</w:t>
      </w:r>
    </w:p>
    <w:p>
      <w:pPr>
        <w:numPr>
          <w:ilvl w:val="0"/>
          <w:numId w:val="2"/>
        </w:numPr>
        <w:spacing w:line="360" w:lineRule="auto"/>
        <w:rPr>
          <w:sz w:val="24"/>
        </w:rPr>
      </w:pPr>
      <w:r>
        <w:rPr>
          <w:rFonts w:hint="eastAsia" w:cs="宋体"/>
          <w:sz w:val="24"/>
        </w:rPr>
        <w:t>企业名称及地址</w:t>
      </w:r>
    </w:p>
    <w:p>
      <w:pPr>
        <w:spacing w:line="360" w:lineRule="auto"/>
        <w:ind w:left="420"/>
        <w:rPr>
          <w:sz w:val="24"/>
        </w:rPr>
      </w:pPr>
      <w:r>
        <w:rPr>
          <w:rFonts w:hint="eastAsia" w:cs="宋体"/>
          <w:sz w:val="24"/>
        </w:rPr>
        <w:t>企业名称：贵州航天林泉电机有限公司</w:t>
      </w:r>
    </w:p>
    <w:p>
      <w:pPr>
        <w:spacing w:line="360" w:lineRule="auto"/>
        <w:ind w:left="420"/>
        <w:rPr>
          <w:sz w:val="24"/>
        </w:rPr>
      </w:pPr>
      <w:r>
        <w:rPr>
          <w:rFonts w:hint="eastAsia" w:cs="宋体"/>
          <w:sz w:val="24"/>
        </w:rPr>
        <w:t>单位地址：贵州省贵阳市观山湖区长岭南路</w:t>
      </w:r>
      <w:r>
        <w:rPr>
          <w:sz w:val="24"/>
        </w:rPr>
        <w:t>89</w:t>
      </w:r>
      <w:r>
        <w:rPr>
          <w:rFonts w:hint="eastAsia" w:cs="宋体"/>
          <w:sz w:val="24"/>
        </w:rPr>
        <w:t>号林泉科技园区</w:t>
      </w:r>
    </w:p>
    <w:p>
      <w:pPr>
        <w:spacing w:line="360" w:lineRule="auto"/>
        <w:ind w:left="426"/>
        <w:rPr>
          <w:rFonts w:hint="eastAsia" w:eastAsia="宋体"/>
          <w:sz w:val="24"/>
          <w:highlight w:val="yellow"/>
          <w:lang w:eastAsia="zh-CN"/>
        </w:rPr>
      </w:pPr>
      <w:r>
        <w:rPr>
          <w:rFonts w:hint="eastAsia"/>
          <w:sz w:val="24"/>
        </w:rPr>
        <w:t>10</w:t>
      </w:r>
      <w:r>
        <w:rPr>
          <w:rFonts w:hint="eastAsia" w:cs="宋体"/>
          <w:sz w:val="24"/>
        </w:rPr>
        <w:t>、投标书</w:t>
      </w:r>
      <w:r>
        <w:rPr>
          <w:rFonts w:hint="eastAsia" w:cs="宋体"/>
          <w:b/>
          <w:sz w:val="24"/>
        </w:rPr>
        <w:t>一正二副</w:t>
      </w:r>
      <w:r>
        <w:rPr>
          <w:rFonts w:hint="eastAsia" w:cs="宋体"/>
          <w:sz w:val="24"/>
        </w:rPr>
        <w:t>用快递投寄或其他方式</w:t>
      </w:r>
      <w:r>
        <w:rPr>
          <w:rFonts w:hint="eastAsia" w:cs="宋体"/>
          <w:sz w:val="24"/>
          <w:lang w:eastAsia="zh-CN"/>
        </w:rPr>
        <w:t>传递</w:t>
      </w:r>
      <w:r>
        <w:rPr>
          <w:rFonts w:hint="eastAsia" w:cs="宋体"/>
          <w:sz w:val="24"/>
        </w:rPr>
        <w:t>到我公司，</w:t>
      </w:r>
      <w:r>
        <w:rPr>
          <w:rFonts w:hint="eastAsia" w:cs="宋体"/>
          <w:sz w:val="24"/>
          <w:highlight w:val="yellow"/>
          <w:lang w:eastAsia="zh-CN"/>
        </w:rPr>
        <w:t>务必在标书密封条外写明项目名称！以免影响开标前的资料整理！</w:t>
      </w:r>
      <w:r>
        <w:rPr>
          <w:rFonts w:hint="eastAsia" w:cs="宋体"/>
          <w:color w:val="000000"/>
          <w:sz w:val="24"/>
        </w:rPr>
        <w:t>供应商不到现场参加开标</w:t>
      </w:r>
      <w:r>
        <w:rPr>
          <w:rFonts w:hint="eastAsia" w:cs="宋体"/>
          <w:color w:val="000000"/>
          <w:sz w:val="24"/>
          <w:lang w:eastAsia="zh-CN"/>
        </w:rPr>
        <w:t>。</w:t>
      </w:r>
    </w:p>
    <w:p>
      <w:pPr>
        <w:spacing w:line="360" w:lineRule="auto"/>
        <w:rPr>
          <w:sz w:val="24"/>
        </w:rPr>
      </w:pPr>
      <w:r>
        <w:rPr>
          <w:rFonts w:hint="eastAsia"/>
          <w:sz w:val="24"/>
        </w:rPr>
        <w:t xml:space="preserve">    11</w:t>
      </w:r>
      <w:r>
        <w:rPr>
          <w:rFonts w:hint="eastAsia" w:cs="宋体"/>
          <w:sz w:val="24"/>
        </w:rPr>
        <w:t>、联系方式：</w:t>
      </w:r>
    </w:p>
    <w:p>
      <w:pPr>
        <w:spacing w:line="360" w:lineRule="auto"/>
        <w:ind w:left="780"/>
        <w:rPr>
          <w:sz w:val="24"/>
        </w:rPr>
      </w:pPr>
      <w:r>
        <w:rPr>
          <w:rFonts w:hint="eastAsia" w:cs="宋体"/>
          <w:sz w:val="24"/>
        </w:rPr>
        <w:t>单位名称：</w:t>
      </w:r>
      <w:r>
        <w:rPr>
          <w:rFonts w:hint="eastAsia" w:cs="宋体"/>
          <w:sz w:val="24"/>
          <w:szCs w:val="20"/>
        </w:rPr>
        <w:t>贵州航天林泉电机有限公司</w:t>
      </w:r>
    </w:p>
    <w:p>
      <w:pPr>
        <w:spacing w:line="360" w:lineRule="auto"/>
        <w:ind w:left="780"/>
        <w:rPr>
          <w:sz w:val="24"/>
        </w:rPr>
      </w:pPr>
      <w:r>
        <w:rPr>
          <w:rFonts w:hint="eastAsia" w:cs="宋体"/>
          <w:sz w:val="24"/>
        </w:rPr>
        <w:t>通信地址：贵州省贵阳市观山湖区长岭南路</w:t>
      </w:r>
      <w:r>
        <w:rPr>
          <w:sz w:val="24"/>
        </w:rPr>
        <w:t>89</w:t>
      </w:r>
      <w:r>
        <w:rPr>
          <w:rFonts w:hint="eastAsia" w:cs="宋体"/>
          <w:sz w:val="24"/>
        </w:rPr>
        <w:t>号林泉科技园区</w:t>
      </w:r>
    </w:p>
    <w:p>
      <w:pPr>
        <w:spacing w:line="360" w:lineRule="auto"/>
        <w:ind w:left="780"/>
        <w:rPr>
          <w:rFonts w:hint="eastAsia" w:eastAsia="宋体"/>
          <w:sz w:val="24"/>
          <w:lang w:eastAsia="zh-CN"/>
        </w:rPr>
      </w:pPr>
      <w:r>
        <w:rPr>
          <w:rFonts w:hint="eastAsia" w:cs="宋体"/>
          <w:sz w:val="24"/>
        </w:rPr>
        <w:t>联系人：</w:t>
      </w:r>
      <w:r>
        <w:rPr>
          <w:rFonts w:hint="eastAsia" w:cs="宋体"/>
          <w:sz w:val="24"/>
          <w:lang w:val="en-US" w:eastAsia="zh-CN"/>
        </w:rPr>
        <w:t>龙孟伟</w:t>
      </w:r>
    </w:p>
    <w:p>
      <w:pPr>
        <w:spacing w:line="360" w:lineRule="auto"/>
        <w:ind w:left="780"/>
        <w:rPr>
          <w:rFonts w:hint="default" w:eastAsia="宋体"/>
          <w:sz w:val="24"/>
          <w:lang w:val="en-US" w:eastAsia="zh-CN"/>
        </w:rPr>
      </w:pPr>
      <w:r>
        <w:rPr>
          <w:rFonts w:hint="eastAsia" w:cs="宋体"/>
          <w:sz w:val="24"/>
        </w:rPr>
        <w:t>电话：</w:t>
      </w:r>
      <w:r>
        <w:rPr>
          <w:rFonts w:hint="eastAsia" w:cs="宋体"/>
          <w:sz w:val="24"/>
          <w:lang w:val="en-US" w:eastAsia="zh-CN"/>
        </w:rPr>
        <w:t>18085598229</w:t>
      </w:r>
    </w:p>
    <w:p>
      <w:pPr>
        <w:spacing w:line="360" w:lineRule="auto"/>
        <w:ind w:left="420"/>
        <w:jc w:val="center"/>
        <w:rPr>
          <w:sz w:val="24"/>
        </w:rPr>
      </w:pPr>
    </w:p>
    <w:p>
      <w:pPr>
        <w:spacing w:line="360" w:lineRule="auto"/>
        <w:ind w:left="420"/>
        <w:jc w:val="center"/>
        <w:rPr>
          <w:sz w:val="24"/>
        </w:rPr>
      </w:pPr>
      <w:r>
        <w:rPr>
          <w:rFonts w:hint="eastAsia" w:cs="宋体"/>
          <w:sz w:val="24"/>
          <w:lang w:val="en-US" w:eastAsia="zh-CN"/>
        </w:rPr>
        <w:t xml:space="preserve">                              </w:t>
      </w:r>
      <w:r>
        <w:rPr>
          <w:rFonts w:hint="eastAsia" w:cs="宋体"/>
          <w:sz w:val="24"/>
        </w:rPr>
        <w:t>招标机构：贵州航天林泉电机有限公司</w:t>
      </w:r>
    </w:p>
    <w:p>
      <w:pPr>
        <w:pStyle w:val="7"/>
        <w:ind w:left="5250" w:leftChars="2500"/>
        <w:rPr>
          <w:rFonts w:hint="eastAsia" w:cs="宋体"/>
          <w:szCs w:val="18"/>
        </w:rPr>
      </w:pPr>
      <w:r>
        <w:rPr>
          <w:szCs w:val="18"/>
        </w:rPr>
        <w:t>202</w:t>
      </w:r>
      <w:r>
        <w:rPr>
          <w:rFonts w:hint="eastAsia"/>
          <w:szCs w:val="18"/>
          <w:lang w:val="en-US" w:eastAsia="zh-CN"/>
        </w:rPr>
        <w:t>3</w:t>
      </w:r>
      <w:r>
        <w:rPr>
          <w:rFonts w:hint="eastAsia" w:cs="宋体"/>
          <w:szCs w:val="18"/>
        </w:rPr>
        <w:t>年</w:t>
      </w:r>
      <w:r>
        <w:rPr>
          <w:rFonts w:hint="eastAsia" w:cs="宋体"/>
          <w:szCs w:val="18"/>
          <w:lang w:val="en-US" w:eastAsia="zh-CN"/>
        </w:rPr>
        <w:t>12</w:t>
      </w:r>
      <w:r>
        <w:rPr>
          <w:rFonts w:hint="eastAsia" w:cs="宋体"/>
          <w:szCs w:val="18"/>
        </w:rPr>
        <w:t>月</w:t>
      </w:r>
      <w:r>
        <w:rPr>
          <w:rFonts w:hint="eastAsia" w:cs="宋体"/>
          <w:szCs w:val="18"/>
          <w:lang w:val="en-US" w:eastAsia="zh-CN"/>
        </w:rPr>
        <w:t>13</w:t>
      </w:r>
      <w:bookmarkStart w:id="45" w:name="_GoBack"/>
      <w:bookmarkEnd w:id="45"/>
      <w:r>
        <w:rPr>
          <w:rFonts w:hint="eastAsia" w:cs="宋体"/>
          <w:szCs w:val="18"/>
        </w:rPr>
        <w:t>日</w:t>
      </w:r>
    </w:p>
    <w:p>
      <w:pPr>
        <w:pStyle w:val="7"/>
        <w:ind w:left="5250" w:leftChars="2500"/>
        <w:rPr>
          <w:rFonts w:hint="eastAsia" w:cs="宋体"/>
          <w:szCs w:val="18"/>
        </w:rPr>
      </w:pPr>
    </w:p>
    <w:p>
      <w:pPr>
        <w:spacing w:line="360" w:lineRule="auto"/>
        <w:jc w:val="center"/>
        <w:rPr>
          <w:b/>
          <w:color w:val="000000"/>
          <w:sz w:val="32"/>
        </w:rPr>
      </w:pPr>
      <w:r>
        <w:rPr>
          <w:rFonts w:hint="eastAsia" w:cs="宋体"/>
          <w:b/>
          <w:color w:val="000000"/>
          <w:sz w:val="32"/>
        </w:rPr>
        <w:t>第二部分</w:t>
      </w:r>
      <w:r>
        <w:rPr>
          <w:rFonts w:hint="eastAsia" w:cs="宋体"/>
          <w:b/>
          <w:color w:val="000000"/>
          <w:sz w:val="32"/>
          <w:lang w:val="en-US" w:eastAsia="zh-CN"/>
        </w:rPr>
        <w:t xml:space="preserve"> </w:t>
      </w:r>
      <w:r>
        <w:rPr>
          <w:rFonts w:hint="eastAsia" w:cs="宋体"/>
          <w:b/>
          <w:color w:val="000000"/>
          <w:sz w:val="32"/>
        </w:rPr>
        <w:t>技术规格及要求</w:t>
      </w:r>
    </w:p>
    <w:p>
      <w:pPr>
        <w:pStyle w:val="2"/>
      </w:pPr>
      <w:bookmarkStart w:id="0" w:name="_Toc150282026"/>
      <w:r>
        <w:rPr>
          <w:rFonts w:hint="eastAsia"/>
        </w:rPr>
        <w:t>工控安全设计</w:t>
      </w:r>
      <w:bookmarkEnd w:id="0"/>
    </w:p>
    <w:p>
      <w:pPr>
        <w:pStyle w:val="3"/>
      </w:pPr>
      <w:bookmarkStart w:id="1" w:name="_Toc150282027"/>
      <w:bookmarkStart w:id="2" w:name="_Toc498000777"/>
      <w:r>
        <w:rPr>
          <w:rFonts w:hint="eastAsia"/>
        </w:rPr>
        <w:t>工控安全建设思路</w:t>
      </w:r>
      <w:bookmarkEnd w:id="1"/>
      <w:bookmarkEnd w:id="2"/>
    </w:p>
    <w:p>
      <w:pPr>
        <w:ind w:firstLine="420"/>
        <w:rPr>
          <w:rFonts w:asciiTheme="minorEastAsia" w:hAnsiTheme="minorEastAsia" w:cstheme="minorEastAsia"/>
          <w:sz w:val="24"/>
        </w:rPr>
      </w:pPr>
      <w:r>
        <w:rPr>
          <w:rFonts w:hint="eastAsia" w:asciiTheme="minorEastAsia" w:hAnsiTheme="minorEastAsia" w:cstheme="minorEastAsia"/>
          <w:sz w:val="24"/>
        </w:rPr>
        <w:t>在保证系统可用性前提下，对工业控制系统进行防护，实现“垂直分层，水平分区。边界控制，内部监测”。</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“垂直分层、水平分区”即对工业控制系统垂直方向化分为三层：现场设备层、现场控制层、监督控制层。水平分区指各工业控制系统之间应该从网络上隔离开，处于不同的安全区。</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边界控制，内部监测”即对系统边界即各操作站、工业控制系统连接处、无线网络等要进行边界防护和准入控制等。对工业控制系统内部要监测网络流量数据以发现入侵、业务异常、访问关系异常和流量异常等问题。</w:t>
      </w:r>
    </w:p>
    <w:p>
      <w:pPr>
        <w:ind w:firstLine="480" w:firstLineChars="200"/>
        <w:rPr>
          <w:rFonts w:ascii="宋体" w:hAnsi="宋体"/>
          <w:sz w:val="24"/>
        </w:rPr>
      </w:pPr>
      <w:r>
        <w:rPr>
          <w:rFonts w:hint="eastAsia" w:asciiTheme="minorEastAsia" w:hAnsiTheme="minorEastAsia" w:cstheme="minorEastAsia"/>
          <w:sz w:val="24"/>
        </w:rPr>
        <w:t>系统面临的主要安全威胁来自于黑客攻击、恶意代码（病毒蠕虫）、越权访问（非授权接入、移动介质、弱口令、操作系统漏洞、误操作和业务异常等，因此，其安全防护应在以下方面予以重点完善和强化</w:t>
      </w:r>
      <w:r>
        <w:rPr>
          <w:rFonts w:hint="eastAsia" w:ascii="宋体" w:hAnsi="宋体"/>
          <w:sz w:val="24"/>
        </w:rPr>
        <w:t>：</w:t>
      </w:r>
    </w:p>
    <w:p>
      <w:pPr>
        <w:ind w:firstLine="480" w:firstLineChars="200"/>
        <w:rPr>
          <w:rFonts w:ascii="宋体" w:hAnsi="宋体"/>
          <w:sz w:val="24"/>
        </w:rPr>
      </w:pPr>
      <w:r>
        <w:rPr>
          <w:rFonts w:hint="eastAsia" w:ascii="宋体" w:hAnsi="宋体"/>
          <w:sz w:val="24"/>
        </w:rPr>
        <w:t>(1)入侵检测及防御；</w:t>
      </w:r>
    </w:p>
    <w:p>
      <w:pPr>
        <w:ind w:firstLine="480" w:firstLineChars="200"/>
        <w:rPr>
          <w:rFonts w:ascii="宋体" w:hAnsi="宋体"/>
          <w:sz w:val="24"/>
        </w:rPr>
      </w:pPr>
      <w:r>
        <w:rPr>
          <w:rFonts w:hint="eastAsia" w:ascii="宋体" w:hAnsi="宋体"/>
          <w:sz w:val="24"/>
        </w:rPr>
        <w:t>(2)恶意代码防护。</w:t>
      </w:r>
    </w:p>
    <w:p>
      <w:pPr>
        <w:ind w:firstLine="480" w:firstLineChars="200"/>
        <w:rPr>
          <w:rFonts w:ascii="宋体" w:hAnsi="宋体"/>
          <w:sz w:val="24"/>
        </w:rPr>
      </w:pPr>
      <w:r>
        <w:rPr>
          <w:rFonts w:hint="eastAsia" w:ascii="宋体" w:hAnsi="宋体"/>
          <w:sz w:val="24"/>
        </w:rPr>
        <w:t>(3)内部网络异常行为的检测；</w:t>
      </w:r>
    </w:p>
    <w:p>
      <w:pPr>
        <w:ind w:firstLine="480" w:firstLineChars="200"/>
        <w:rPr>
          <w:rFonts w:ascii="宋体" w:hAnsi="宋体"/>
          <w:sz w:val="24"/>
        </w:rPr>
      </w:pPr>
      <w:r>
        <w:rPr>
          <w:rFonts w:hint="eastAsia" w:ascii="宋体" w:hAnsi="宋体"/>
          <w:sz w:val="24"/>
        </w:rPr>
        <w:t>(4)边界访问控制和系统访问控制策略；</w:t>
      </w:r>
    </w:p>
    <w:p>
      <w:pPr>
        <w:ind w:firstLine="480" w:firstLineChars="200"/>
        <w:rPr>
          <w:rFonts w:ascii="宋体" w:hAnsi="宋体"/>
          <w:sz w:val="24"/>
        </w:rPr>
      </w:pPr>
      <w:r>
        <w:rPr>
          <w:rFonts w:hint="eastAsia" w:ascii="宋体" w:hAnsi="宋体"/>
          <w:sz w:val="24"/>
        </w:rPr>
        <w:t>(5)工业控制系统开发与维护的安全；</w:t>
      </w:r>
    </w:p>
    <w:p>
      <w:pPr>
        <w:ind w:firstLine="480" w:firstLineChars="200"/>
        <w:rPr>
          <w:rFonts w:ascii="宋体" w:hAnsi="宋体"/>
          <w:sz w:val="24"/>
        </w:rPr>
      </w:pPr>
      <w:r>
        <w:rPr>
          <w:rFonts w:hint="eastAsia" w:ascii="宋体" w:hAnsi="宋体"/>
          <w:sz w:val="24"/>
        </w:rPr>
        <w:t>(6)身份认证和行为审计；</w:t>
      </w:r>
    </w:p>
    <w:p>
      <w:pPr>
        <w:ind w:firstLine="480" w:firstLineChars="200"/>
        <w:rPr>
          <w:rFonts w:ascii="宋体" w:hAnsi="宋体"/>
          <w:sz w:val="24"/>
        </w:rPr>
      </w:pPr>
      <w:r>
        <w:rPr>
          <w:rFonts w:hint="eastAsia" w:ascii="宋体" w:hAnsi="宋体"/>
          <w:sz w:val="24"/>
        </w:rPr>
        <w:t>(7)账号唯一性和口令安全，尤其是管理员账号和口令的管理；</w:t>
      </w:r>
    </w:p>
    <w:p>
      <w:pPr>
        <w:ind w:firstLine="480" w:firstLineChars="200"/>
        <w:rPr>
          <w:rFonts w:ascii="宋体" w:hAnsi="宋体"/>
          <w:sz w:val="24"/>
        </w:rPr>
      </w:pPr>
      <w:r>
        <w:rPr>
          <w:rFonts w:hint="eastAsia" w:ascii="宋体" w:hAnsi="宋体"/>
          <w:sz w:val="24"/>
        </w:rPr>
        <w:t>(8)操作站操作系统安全。</w:t>
      </w:r>
    </w:p>
    <w:p>
      <w:pPr>
        <w:pStyle w:val="3"/>
      </w:pPr>
      <w:bookmarkStart w:id="3" w:name="_Toc32503"/>
      <w:bookmarkStart w:id="4" w:name="_Toc150282028"/>
      <w:bookmarkStart w:id="5" w:name="_Toc45547552"/>
      <w:r>
        <w:rPr>
          <w:rFonts w:hint="eastAsia"/>
        </w:rPr>
        <w:t>第二代防火墙设计效果</w:t>
      </w:r>
      <w:bookmarkEnd w:id="3"/>
      <w:bookmarkEnd w:id="4"/>
    </w:p>
    <w:p>
      <w:pPr>
        <w:ind w:firstLine="480"/>
        <w:rPr>
          <w:rFonts w:ascii="宋体" w:hAnsi="宋体"/>
          <w:sz w:val="24"/>
        </w:rPr>
      </w:pPr>
      <w:r>
        <w:rPr>
          <w:rFonts w:hint="eastAsia" w:ascii="宋体" w:hAnsi="宋体"/>
          <w:sz w:val="24"/>
        </w:rPr>
        <w:t>本方案中，在核心交换区和四楼汇聚交换机边界处部署了第二代防火墙系统，在实现细粒度访问控制的同时，实现入侵防御、恶意代码防范和抗D</w:t>
      </w:r>
      <w:r>
        <w:rPr>
          <w:rFonts w:ascii="宋体" w:hAnsi="宋体"/>
          <w:sz w:val="24"/>
        </w:rPr>
        <w:t>DOS</w:t>
      </w:r>
      <w:r>
        <w:rPr>
          <w:rFonts w:hint="eastAsia" w:ascii="宋体" w:hAnsi="宋体"/>
          <w:sz w:val="24"/>
        </w:rPr>
        <w:t>攻击功能，进行多维度的安全防护。</w:t>
      </w:r>
    </w:p>
    <w:p>
      <w:pPr>
        <w:ind w:firstLine="480"/>
        <w:rPr>
          <w:rFonts w:ascii="宋体" w:hAnsi="宋体"/>
          <w:sz w:val="24"/>
        </w:rPr>
      </w:pPr>
      <w:r>
        <w:rPr>
          <w:rFonts w:hint="eastAsia" w:ascii="宋体" w:hAnsi="宋体"/>
          <w:sz w:val="24"/>
        </w:rPr>
        <w:t>第二代防火墙主要实现效果如下：</w:t>
      </w:r>
    </w:p>
    <w:p>
      <w:pPr>
        <w:pStyle w:val="15"/>
        <w:numPr>
          <w:ilvl w:val="0"/>
          <w:numId w:val="3"/>
        </w:numPr>
        <w:spacing w:line="360" w:lineRule="auto"/>
        <w:ind w:firstLineChars="0"/>
        <w:jc w:val="left"/>
        <w:rPr>
          <w:rFonts w:ascii="宋体" w:hAnsi="宋体" w:cs="宋体"/>
          <w:b w:val="0"/>
          <w:bCs/>
          <w:sz w:val="24"/>
        </w:rPr>
      </w:pPr>
      <w:r>
        <w:rPr>
          <w:rFonts w:hint="eastAsia" w:ascii="宋体" w:hAnsi="宋体" w:cs="宋体"/>
          <w:b w:val="0"/>
          <w:bCs/>
          <w:sz w:val="24"/>
        </w:rPr>
        <w:t>可以在蠕虫、后门、木马、间谍软件、拒绝服务等攻击的防御方面具备了检测、阻断、限流、审计报警等防御手段，满足各种应用需要。</w:t>
      </w:r>
    </w:p>
    <w:p>
      <w:pPr>
        <w:pStyle w:val="15"/>
        <w:numPr>
          <w:ilvl w:val="0"/>
          <w:numId w:val="3"/>
        </w:numPr>
        <w:spacing w:line="360" w:lineRule="auto"/>
        <w:ind w:firstLineChars="0"/>
        <w:jc w:val="left"/>
        <w:rPr>
          <w:rFonts w:ascii="宋体" w:hAnsi="宋体" w:cs="宋体"/>
          <w:b w:val="0"/>
          <w:bCs/>
          <w:sz w:val="24"/>
        </w:rPr>
      </w:pPr>
      <w:r>
        <w:rPr>
          <w:rFonts w:hint="eastAsia" w:ascii="宋体" w:hAnsi="宋体" w:cs="宋体"/>
          <w:b w:val="0"/>
          <w:bCs/>
          <w:sz w:val="24"/>
        </w:rPr>
        <w:t>可以检测和阻断RedCode、Slammer、sober，Zotob、nimda等多种国内外流行的蠕虫病毒，并可通过会话数管理防御未知蠕虫病毒的攻击。</w:t>
      </w:r>
    </w:p>
    <w:p>
      <w:pPr>
        <w:pStyle w:val="15"/>
        <w:numPr>
          <w:ilvl w:val="0"/>
          <w:numId w:val="3"/>
        </w:numPr>
        <w:spacing w:line="360" w:lineRule="auto"/>
        <w:ind w:firstLineChars="0"/>
        <w:jc w:val="left"/>
        <w:rPr>
          <w:rFonts w:ascii="宋体" w:hAnsi="宋体" w:cs="宋体"/>
          <w:b w:val="0"/>
          <w:bCs/>
          <w:sz w:val="24"/>
        </w:rPr>
      </w:pPr>
      <w:r>
        <w:rPr>
          <w:rFonts w:hint="eastAsia" w:ascii="宋体" w:hAnsi="宋体" w:cs="宋体"/>
          <w:b w:val="0"/>
          <w:bCs/>
          <w:sz w:val="24"/>
        </w:rPr>
        <w:t>可检测和阻断Sub7、netbus、bandook、Doly、GateCrasher等多种国内外主流的后门程序。</w:t>
      </w:r>
    </w:p>
    <w:p>
      <w:pPr>
        <w:pStyle w:val="15"/>
        <w:numPr>
          <w:ilvl w:val="0"/>
          <w:numId w:val="3"/>
        </w:numPr>
        <w:spacing w:line="360" w:lineRule="auto"/>
        <w:ind w:firstLineChars="0"/>
        <w:jc w:val="left"/>
        <w:rPr>
          <w:rFonts w:ascii="宋体" w:hAnsi="宋体" w:cs="宋体"/>
          <w:b w:val="0"/>
          <w:bCs/>
          <w:sz w:val="24"/>
        </w:rPr>
      </w:pPr>
      <w:r>
        <w:rPr>
          <w:rFonts w:hint="eastAsia" w:ascii="宋体" w:hAnsi="宋体" w:cs="宋体"/>
          <w:b w:val="0"/>
          <w:bCs/>
          <w:sz w:val="24"/>
        </w:rPr>
        <w:t>可以检测和阻断灰鸽子、Storm、Duntek等多达200多种国内外主流的木马。</w:t>
      </w:r>
    </w:p>
    <w:p>
      <w:pPr>
        <w:pStyle w:val="15"/>
        <w:numPr>
          <w:ilvl w:val="0"/>
          <w:numId w:val="3"/>
        </w:numPr>
        <w:spacing w:line="360" w:lineRule="auto"/>
        <w:ind w:firstLineChars="0"/>
        <w:jc w:val="left"/>
        <w:rPr>
          <w:rFonts w:ascii="宋体" w:hAnsi="宋体" w:cs="宋体"/>
          <w:b w:val="0"/>
          <w:bCs/>
          <w:sz w:val="24"/>
        </w:rPr>
      </w:pPr>
      <w:r>
        <w:rPr>
          <w:rFonts w:hint="eastAsia" w:ascii="宋体" w:hAnsi="宋体" w:cs="宋体"/>
          <w:b w:val="0"/>
          <w:bCs/>
          <w:sz w:val="24"/>
        </w:rPr>
        <w:t>可以检测和阻断IECodec、Spybuddy等多达400多种国内外主流的间谍软件。</w:t>
      </w:r>
    </w:p>
    <w:p>
      <w:pPr>
        <w:pStyle w:val="15"/>
        <w:numPr>
          <w:ilvl w:val="0"/>
          <w:numId w:val="3"/>
        </w:numPr>
        <w:spacing w:line="360" w:lineRule="auto"/>
        <w:ind w:firstLineChars="0"/>
        <w:jc w:val="left"/>
        <w:rPr>
          <w:rFonts w:ascii="宋体" w:hAnsi="宋体" w:cs="宋体"/>
          <w:b w:val="0"/>
          <w:bCs/>
          <w:sz w:val="24"/>
        </w:rPr>
      </w:pPr>
      <w:r>
        <w:rPr>
          <w:rFonts w:hint="eastAsia" w:ascii="宋体" w:hAnsi="宋体" w:cs="宋体"/>
          <w:b w:val="0"/>
          <w:bCs/>
          <w:sz w:val="24"/>
        </w:rPr>
        <w:t>可以检测和阻断CGI、Unicode等间谍软件。</w:t>
      </w:r>
    </w:p>
    <w:p>
      <w:pPr>
        <w:pStyle w:val="15"/>
        <w:numPr>
          <w:ilvl w:val="0"/>
          <w:numId w:val="3"/>
        </w:numPr>
        <w:spacing w:line="360" w:lineRule="auto"/>
        <w:ind w:firstLineChars="0"/>
        <w:jc w:val="left"/>
        <w:rPr>
          <w:rFonts w:ascii="宋体" w:hAnsi="宋体" w:cs="宋体"/>
          <w:b w:val="0"/>
          <w:bCs/>
          <w:sz w:val="24"/>
        </w:rPr>
      </w:pPr>
      <w:r>
        <w:rPr>
          <w:rFonts w:hint="eastAsia" w:ascii="宋体" w:hAnsi="宋体" w:cs="宋体"/>
          <w:b w:val="0"/>
          <w:bCs/>
          <w:sz w:val="24"/>
        </w:rPr>
        <w:t>可以检测和阻断ARP攻击、UDPFlooding、SynFlooding 等网络层拒绝服务攻击，以及处理CC，DNS Query Flooding等多种应用拒绝服务攻击。</w:t>
      </w:r>
    </w:p>
    <w:p>
      <w:pPr>
        <w:pStyle w:val="15"/>
        <w:numPr>
          <w:ilvl w:val="0"/>
          <w:numId w:val="4"/>
        </w:numPr>
        <w:spacing w:line="360" w:lineRule="auto"/>
        <w:ind w:firstLineChars="0"/>
        <w:jc w:val="left"/>
        <w:rPr>
          <w:rFonts w:ascii="宋体" w:hAnsi="宋体" w:cs="宋体"/>
          <w:sz w:val="24"/>
        </w:rPr>
      </w:pPr>
      <w:r>
        <w:rPr>
          <w:rFonts w:hint="eastAsia" w:ascii="宋体" w:hAnsi="宋体" w:cs="宋体"/>
          <w:sz w:val="24"/>
        </w:rPr>
        <w:t>网络访问控制兼顾病毒防御</w:t>
      </w:r>
    </w:p>
    <w:p>
      <w:pPr>
        <w:spacing w:line="360" w:lineRule="auto"/>
        <w:ind w:firstLine="482"/>
        <w:rPr>
          <w:rFonts w:ascii="宋体" w:hAnsi="宋体"/>
          <w:sz w:val="24"/>
        </w:rPr>
      </w:pPr>
      <w:r>
        <w:rPr>
          <w:rFonts w:hint="eastAsia" w:ascii="宋体" w:hAnsi="宋体"/>
          <w:sz w:val="24"/>
        </w:rPr>
        <w:t>第二代防火墙</w:t>
      </w:r>
      <w:r>
        <w:rPr>
          <w:rFonts w:ascii="宋体" w:hAnsi="宋体"/>
          <w:sz w:val="24"/>
        </w:rPr>
        <w:t>可以部署在Internet和内部网络之间，</w:t>
      </w:r>
      <w:r>
        <w:rPr>
          <w:rFonts w:hint="eastAsia" w:ascii="宋体" w:hAnsi="宋体"/>
          <w:sz w:val="24"/>
        </w:rPr>
        <w:t>执行网络访问控制功能，防止外部用户对内部核心资源的非法访问，同时，也</w:t>
      </w:r>
      <w:r>
        <w:rPr>
          <w:rFonts w:ascii="宋体" w:hAnsi="宋体"/>
          <w:sz w:val="24"/>
        </w:rPr>
        <w:t>可以阻挡来自Internet的病毒、蠕虫、木马、间谍软件、恶意软件。</w:t>
      </w:r>
      <w:r>
        <w:rPr>
          <w:rFonts w:hint="eastAsia" w:ascii="宋体" w:hAnsi="宋体"/>
          <w:sz w:val="24"/>
        </w:rPr>
        <w:t>第二代防火墙</w:t>
      </w:r>
      <w:r>
        <w:rPr>
          <w:rFonts w:ascii="宋体" w:hAnsi="宋体"/>
          <w:sz w:val="24"/>
        </w:rPr>
        <w:t>还支持HTTP协议和FTP协议，对于Web浏览、下载、Web邮件及FTP文件传输过程中携带的病毒均可进行拦截。</w:t>
      </w:r>
    </w:p>
    <w:p>
      <w:pPr>
        <w:pStyle w:val="15"/>
        <w:numPr>
          <w:ilvl w:val="0"/>
          <w:numId w:val="4"/>
        </w:numPr>
        <w:ind w:firstLineChars="0"/>
        <w:jc w:val="left"/>
        <w:rPr>
          <w:rFonts w:ascii="宋体" w:hAnsi="宋体"/>
          <w:sz w:val="24"/>
        </w:rPr>
      </w:pPr>
      <w:bookmarkStart w:id="6" w:name="_Toc319949765"/>
      <w:bookmarkStart w:id="7" w:name="_Toc273453369"/>
      <w:bookmarkStart w:id="8" w:name="_Toc318753673"/>
      <w:bookmarkStart w:id="9" w:name="_Toc231606069"/>
      <w:r>
        <w:rPr>
          <w:rFonts w:hint="eastAsia" w:ascii="宋体" w:hAnsi="宋体"/>
          <w:sz w:val="24"/>
        </w:rPr>
        <w:t>入侵防御</w:t>
      </w:r>
      <w:bookmarkEnd w:id="6"/>
      <w:bookmarkEnd w:id="7"/>
      <w:bookmarkEnd w:id="8"/>
      <w:bookmarkEnd w:id="9"/>
      <w:r>
        <w:rPr>
          <w:rFonts w:hint="eastAsia" w:ascii="宋体" w:hAnsi="宋体"/>
          <w:sz w:val="24"/>
        </w:rPr>
        <w:t>功能</w:t>
      </w:r>
    </w:p>
    <w:p>
      <w:pPr>
        <w:spacing w:line="360" w:lineRule="auto"/>
        <w:ind w:firstLine="482"/>
        <w:rPr>
          <w:rFonts w:ascii="宋体" w:hAnsi="宋体"/>
          <w:sz w:val="24"/>
        </w:rPr>
      </w:pPr>
      <w:r>
        <w:rPr>
          <w:rFonts w:hint="eastAsia" w:ascii="宋体" w:hAnsi="宋体"/>
          <w:sz w:val="24"/>
        </w:rPr>
        <w:t>第二代防火墙主要目的是防御来自于外网针对内网的攻击。普通防火墙仅具有四层封包解析的功能，对于利用七层的黑客攻击手法或是利用合法掩护非法的网络行为便无法有效管控。通过第二代防火墙中入侵防御模块的保护，除了对于来自外网针对内网的暴力攻击能够有效阻挡之外，对于所有进出的封包均进行详细的七层分析，黑客利用合法方式进行的非法攻击将无所遁形。</w:t>
      </w:r>
    </w:p>
    <w:bookmarkEnd w:id="5"/>
    <w:p>
      <w:pPr>
        <w:pStyle w:val="3"/>
        <w:rPr>
          <w:color w:val="000000" w:themeColor="text1"/>
          <w14:textFill>
            <w14:solidFill>
              <w14:schemeClr w14:val="tx1"/>
            </w14:solidFill>
          </w14:textFill>
        </w:rPr>
      </w:pPr>
      <w:bookmarkStart w:id="10" w:name="_Toc150282029"/>
      <w:r>
        <w:rPr>
          <w:rFonts w:hint="eastAsia"/>
          <w:color w:val="000000" w:themeColor="text1"/>
          <w14:textFill>
            <w14:solidFill>
              <w14:schemeClr w14:val="tx1"/>
            </w14:solidFill>
          </w14:textFill>
        </w:rPr>
        <w:t>高级威胁检测系统设计效果</w:t>
      </w:r>
      <w:bookmarkEnd w:id="10"/>
    </w:p>
    <w:p>
      <w:pPr>
        <w:spacing w:line="360" w:lineRule="auto"/>
        <w:ind w:firstLine="482"/>
        <w:rPr>
          <w:rFonts w:ascii="宋体" w:hAnsi="宋体"/>
          <w:sz w:val="24"/>
        </w:rPr>
      </w:pPr>
      <w:r>
        <w:rPr>
          <w:rFonts w:ascii="宋体" w:hAnsi="宋体"/>
          <w:sz w:val="24"/>
        </w:rPr>
        <w:t>高级威胁检测系统（Advanced Threat Detection System，ATD），将人工智能、大数据技术与安全技术相结合，实时分析网络流量，监控可疑威胁行为</w:t>
      </w:r>
      <w:r>
        <w:rPr>
          <w:rFonts w:hint="eastAsia" w:ascii="宋体" w:hAnsi="宋体"/>
          <w:sz w:val="24"/>
        </w:rPr>
        <w:t>，内置多种检测技术，可对APT攻击链进行交叉检测和交叉验证。</w:t>
      </w:r>
    </w:p>
    <w:p>
      <w:pPr>
        <w:spacing w:line="360" w:lineRule="auto"/>
        <w:ind w:firstLine="482"/>
        <w:rPr>
          <w:rFonts w:ascii="宋体" w:hAnsi="宋体"/>
          <w:sz w:val="24"/>
        </w:rPr>
      </w:pPr>
      <w:r>
        <w:rPr>
          <w:rFonts w:ascii="宋体" w:hAnsi="宋体"/>
          <w:sz w:val="24"/>
        </w:rPr>
        <w:t>ATD</w:t>
      </w:r>
      <w:r>
        <w:rPr>
          <w:rFonts w:hint="eastAsia" w:ascii="宋体" w:hAnsi="宋体"/>
          <w:sz w:val="24"/>
        </w:rPr>
        <w:t>除了具备常规的入侵检测功能外，还</w:t>
      </w:r>
      <w:r>
        <w:rPr>
          <w:rFonts w:ascii="宋体" w:hAnsi="宋体"/>
          <w:sz w:val="24"/>
        </w:rPr>
        <w:t>可以</w:t>
      </w:r>
      <w:r>
        <w:rPr>
          <w:rFonts w:hint="eastAsia" w:ascii="宋体" w:hAnsi="宋体"/>
          <w:sz w:val="24"/>
        </w:rPr>
        <w:t>从网络流量中还原出文件（HTTP、SMTP、POP3、IMAP、FTP、SMB等协议）并</w:t>
      </w:r>
      <w:r>
        <w:rPr>
          <w:rFonts w:ascii="宋体" w:hAnsi="宋体"/>
          <w:sz w:val="24"/>
        </w:rPr>
        <w:t>通过多病毒检测引擎有效识别出病毒、木马等已知威胁；通过基因图谱检测技术检测恶意代码变种； 还可以通过沙箱（Sandbox）行为检测技术发现未知威胁</w:t>
      </w:r>
      <w:r>
        <w:rPr>
          <w:rFonts w:hint="eastAsia" w:ascii="宋体" w:hAnsi="宋体"/>
          <w:sz w:val="24"/>
        </w:rPr>
        <w:t>；对抽取的网络流量元数据，进行情报检测、异常检测、流量基因检测；最后将所有安全威胁进行关联分析，输出检测结果，</w:t>
      </w:r>
      <w:r>
        <w:rPr>
          <w:rFonts w:ascii="宋体" w:hAnsi="宋体"/>
          <w:sz w:val="24"/>
        </w:rPr>
        <w:t>对检测及防御APT攻击起到关键作用。</w:t>
      </w:r>
    </w:p>
    <w:p>
      <w:pPr>
        <w:pStyle w:val="15"/>
        <w:numPr>
          <w:ilvl w:val="0"/>
          <w:numId w:val="5"/>
        </w:numPr>
        <w:spacing w:line="360" w:lineRule="auto"/>
        <w:ind w:firstLineChars="0"/>
        <w:jc w:val="both"/>
        <w:rPr>
          <w:rFonts w:ascii="宋体" w:hAnsi="宋体" w:cs="宋体"/>
          <w:b w:val="0"/>
          <w:sz w:val="24"/>
        </w:rPr>
      </w:pPr>
      <w:bookmarkStart w:id="11" w:name="_Toc19494"/>
      <w:r>
        <w:rPr>
          <w:rFonts w:hint="eastAsia" w:ascii="宋体" w:hAnsi="宋体" w:cs="宋体"/>
          <w:b w:val="0"/>
          <w:sz w:val="24"/>
        </w:rPr>
        <w:t>文件基因图谱人工智能检测</w:t>
      </w:r>
      <w:bookmarkEnd w:id="11"/>
    </w:p>
    <w:p>
      <w:pPr>
        <w:spacing w:line="360" w:lineRule="auto"/>
        <w:ind w:firstLine="482"/>
        <w:rPr>
          <w:rFonts w:ascii="宋体" w:hAnsi="宋体"/>
          <w:sz w:val="24"/>
        </w:rPr>
      </w:pPr>
      <w:r>
        <w:rPr>
          <w:rFonts w:hint="eastAsia" w:ascii="宋体" w:hAnsi="宋体"/>
          <w:sz w:val="24"/>
        </w:rPr>
        <w:t>如今病毒木马变种层出不穷，攻击者通过改变病毒木马的某一部分特征，实现对传统杀毒软件检测的绕过。</w:t>
      </w:r>
    </w:p>
    <w:p>
      <w:pPr>
        <w:spacing w:line="360" w:lineRule="auto"/>
        <w:ind w:firstLine="482"/>
        <w:rPr>
          <w:rFonts w:ascii="宋体" w:hAnsi="宋体"/>
          <w:sz w:val="24"/>
        </w:rPr>
      </w:pPr>
      <w:r>
        <w:rPr>
          <w:rFonts w:ascii="宋体" w:hAnsi="宋体"/>
          <w:sz w:val="24"/>
        </w:rPr>
        <w:t>ATD</w:t>
      </w:r>
      <w:r>
        <w:rPr>
          <w:rFonts w:hint="eastAsia" w:ascii="宋体" w:hAnsi="宋体"/>
          <w:sz w:val="24"/>
        </w:rPr>
        <w:t>采用业界独特的基因检测技术，可以利用恶意代码在变种过程中的遗传学特征，即基因在遗传过程中的复制特性及部分基因突变特性，对恶意代码进行检测。通过基因比对，可以很轻易的识别出恶意代码变种，</w:t>
      </w:r>
      <w:r>
        <w:rPr>
          <w:rFonts w:ascii="宋体" w:hAnsi="宋体"/>
          <w:sz w:val="24"/>
        </w:rPr>
        <w:t>目前基因库恶意</w:t>
      </w:r>
      <w:r>
        <w:rPr>
          <w:rFonts w:hint="eastAsia" w:ascii="宋体" w:hAnsi="宋体"/>
          <w:sz w:val="24"/>
        </w:rPr>
        <w:t>病毒基因高达数10亿样本，覆盖5000个以上家族，且在不断更新，检测的时间粒度在毫秒级别。</w:t>
      </w:r>
    </w:p>
    <w:p>
      <w:pPr>
        <w:pStyle w:val="15"/>
        <w:numPr>
          <w:ilvl w:val="0"/>
          <w:numId w:val="5"/>
        </w:numPr>
        <w:spacing w:line="360" w:lineRule="auto"/>
        <w:ind w:firstLineChars="0"/>
        <w:jc w:val="both"/>
        <w:rPr>
          <w:rFonts w:ascii="宋体" w:hAnsi="宋体" w:cs="宋体"/>
          <w:b w:val="0"/>
          <w:sz w:val="24"/>
        </w:rPr>
      </w:pPr>
      <w:bookmarkStart w:id="12" w:name="_Toc7665"/>
      <w:r>
        <w:rPr>
          <w:rFonts w:hint="eastAsia" w:ascii="宋体" w:hAnsi="宋体" w:cs="宋体"/>
          <w:b w:val="0"/>
          <w:sz w:val="24"/>
        </w:rPr>
        <w:t>流量基因图谱人工智能检测</w:t>
      </w:r>
      <w:bookmarkEnd w:id="12"/>
    </w:p>
    <w:p>
      <w:pPr>
        <w:spacing w:line="360" w:lineRule="auto"/>
        <w:ind w:firstLine="482"/>
        <w:rPr>
          <w:rFonts w:ascii="宋体" w:hAnsi="宋体"/>
          <w:sz w:val="24"/>
        </w:rPr>
      </w:pPr>
      <w:r>
        <w:rPr>
          <w:rFonts w:hint="eastAsia" w:ascii="宋体" w:hAnsi="宋体"/>
          <w:sz w:val="24"/>
        </w:rPr>
        <w:t>网络流量的规模和密度逐年增长，协议的类型和应用服务的类型更是多样化,更有恶意流量利用非标准协议进行数据的伪装或加密，以实现数据隐蔽传输。因此，如何准确识别网络流量的是网络安全中的重要问题。</w:t>
      </w:r>
    </w:p>
    <w:p>
      <w:pPr>
        <w:spacing w:line="360" w:lineRule="auto"/>
        <w:ind w:firstLine="482"/>
        <w:rPr>
          <w:rFonts w:ascii="宋体" w:hAnsi="宋体"/>
          <w:sz w:val="24"/>
        </w:rPr>
      </w:pPr>
      <w:r>
        <w:rPr>
          <w:rFonts w:hint="eastAsia" w:ascii="宋体" w:hAnsi="宋体"/>
          <w:sz w:val="24"/>
        </w:rPr>
        <w:t>这些都是同一恶意代码家族的不同变种的外联通讯会话，不同会话的特征均存在差异，现有的基于特征的检测技术如果未曾更新到特征库，就无法识别。ATD采用业界独特的基因检测技术，将流量会话映射成基因图谱，通过海量恶意样本家族产生的流量训练形成未知协议通讯检测模型，结合系统实时获取的网络会话基因特征，进行基因比对，实现精确的流量基因检测。</w:t>
      </w:r>
    </w:p>
    <w:p>
      <w:pPr>
        <w:pStyle w:val="15"/>
        <w:numPr>
          <w:ilvl w:val="0"/>
          <w:numId w:val="5"/>
        </w:numPr>
        <w:spacing w:line="360" w:lineRule="auto"/>
        <w:ind w:firstLineChars="0"/>
        <w:jc w:val="both"/>
        <w:rPr>
          <w:rFonts w:ascii="宋体" w:hAnsi="宋体" w:cs="宋体"/>
          <w:b w:val="0"/>
          <w:sz w:val="24"/>
        </w:rPr>
      </w:pPr>
      <w:bookmarkStart w:id="13" w:name="_Toc11851"/>
      <w:r>
        <w:rPr>
          <w:rFonts w:hint="eastAsia" w:ascii="宋体" w:hAnsi="宋体" w:cs="宋体"/>
          <w:b w:val="0"/>
          <w:sz w:val="24"/>
        </w:rPr>
        <w:t>加密流量人工智能检测分析</w:t>
      </w:r>
      <w:bookmarkEnd w:id="13"/>
    </w:p>
    <w:p>
      <w:pPr>
        <w:spacing w:line="360" w:lineRule="auto"/>
        <w:ind w:firstLine="482"/>
        <w:rPr>
          <w:rFonts w:ascii="宋体" w:hAnsi="宋体"/>
          <w:sz w:val="24"/>
        </w:rPr>
      </w:pPr>
      <w:bookmarkStart w:id="14" w:name="_Toc5442"/>
      <w:r>
        <w:rPr>
          <w:rFonts w:hint="eastAsia" w:ascii="宋体" w:hAnsi="宋体"/>
          <w:sz w:val="24"/>
        </w:rPr>
        <w:t>恶意加密流量人工智能检测</w:t>
      </w:r>
      <w:bookmarkEnd w:id="14"/>
    </w:p>
    <w:p>
      <w:pPr>
        <w:spacing w:line="360" w:lineRule="auto"/>
        <w:ind w:firstLine="482"/>
        <w:rPr>
          <w:rFonts w:ascii="宋体" w:hAnsi="宋体"/>
          <w:sz w:val="24"/>
        </w:rPr>
      </w:pPr>
      <w:r>
        <w:rPr>
          <w:rFonts w:hint="eastAsia" w:ascii="宋体" w:hAnsi="宋体"/>
          <w:sz w:val="24"/>
        </w:rPr>
        <w:t>ATD支持恶意加密流量人工智能检测，通过提取恶意代码家族的加密网络会话基因特征（DNS特征、TLS元数据、HTTP特征、包特征信息等）训练形成恶意代码加密通讯检测模型。</w:t>
      </w:r>
    </w:p>
    <w:p>
      <w:pPr>
        <w:spacing w:line="360" w:lineRule="auto"/>
        <w:ind w:firstLine="482"/>
        <w:rPr>
          <w:rFonts w:ascii="宋体" w:hAnsi="宋体"/>
          <w:sz w:val="24"/>
        </w:rPr>
      </w:pPr>
      <w:r>
        <w:rPr>
          <w:rFonts w:hint="eastAsia" w:ascii="宋体" w:hAnsi="宋体"/>
          <w:sz w:val="24"/>
        </w:rPr>
        <w:t>在现网中，ATD系统获取实时网络会话元数据，构建特征向量，使用检测模型对网络流量进行恶意代码加密通讯检测。</w:t>
      </w:r>
    </w:p>
    <w:p>
      <w:pPr>
        <w:pStyle w:val="15"/>
        <w:numPr>
          <w:ilvl w:val="0"/>
          <w:numId w:val="5"/>
        </w:numPr>
        <w:spacing w:line="360" w:lineRule="auto"/>
        <w:ind w:firstLineChars="0"/>
        <w:jc w:val="both"/>
        <w:rPr>
          <w:rFonts w:ascii="宋体" w:hAnsi="宋体" w:cs="宋体"/>
          <w:b w:val="0"/>
          <w:sz w:val="24"/>
        </w:rPr>
      </w:pPr>
      <w:bookmarkStart w:id="15" w:name="_Toc23736"/>
      <w:r>
        <w:rPr>
          <w:rFonts w:hint="eastAsia" w:ascii="宋体" w:hAnsi="宋体" w:cs="宋体"/>
          <w:b w:val="0"/>
          <w:sz w:val="24"/>
        </w:rPr>
        <w:t>Tor流量人工智能检测</w:t>
      </w:r>
      <w:bookmarkEnd w:id="15"/>
    </w:p>
    <w:p>
      <w:pPr>
        <w:spacing w:line="360" w:lineRule="auto"/>
        <w:ind w:firstLine="482"/>
        <w:rPr>
          <w:rFonts w:ascii="宋体" w:hAnsi="宋体"/>
          <w:sz w:val="24"/>
        </w:rPr>
      </w:pPr>
      <w:r>
        <w:rPr>
          <w:rFonts w:hint="eastAsia" w:ascii="宋体" w:hAnsi="宋体"/>
          <w:sz w:val="24"/>
        </w:rPr>
        <w:t>ATD支持Tor（暗网）流量人工智能检测，采用构建Tor流量/非Tor流量捕获环境进行同类应用的数据传输（包括但不局限于浏览器、邮件、聊天工具、视频流、音频流、文件传输、P2P、VoIP等），分别提取步态指纹特征数据集训练建立暗网检测模型。</w:t>
      </w:r>
    </w:p>
    <w:p>
      <w:pPr>
        <w:spacing w:line="360" w:lineRule="auto"/>
        <w:ind w:firstLine="482"/>
        <w:rPr>
          <w:rFonts w:ascii="宋体" w:hAnsi="宋体"/>
          <w:sz w:val="24"/>
        </w:rPr>
      </w:pPr>
      <w:r>
        <w:rPr>
          <w:rFonts w:hint="eastAsia" w:ascii="宋体" w:hAnsi="宋体"/>
          <w:sz w:val="24"/>
        </w:rPr>
        <w:t>在现网中，ATD系统获取实时网络会话元数据，构建实时步态指纹特征，使用暗网检测模型对网络流量进行暗网通讯检测。</w:t>
      </w:r>
    </w:p>
    <w:p>
      <w:pPr>
        <w:pStyle w:val="15"/>
        <w:numPr>
          <w:ilvl w:val="0"/>
          <w:numId w:val="5"/>
        </w:numPr>
        <w:spacing w:line="360" w:lineRule="auto"/>
        <w:ind w:firstLineChars="0"/>
        <w:jc w:val="both"/>
        <w:rPr>
          <w:rFonts w:ascii="宋体" w:hAnsi="宋体" w:cs="宋体"/>
          <w:b w:val="0"/>
          <w:sz w:val="24"/>
        </w:rPr>
      </w:pPr>
      <w:bookmarkStart w:id="16" w:name="_Toc1008"/>
      <w:r>
        <w:rPr>
          <w:rFonts w:hint="eastAsia" w:ascii="宋体" w:hAnsi="宋体" w:cs="宋体"/>
          <w:b w:val="0"/>
          <w:sz w:val="24"/>
        </w:rPr>
        <w:t>VPN流量人工智能检测</w:t>
      </w:r>
      <w:bookmarkEnd w:id="16"/>
    </w:p>
    <w:p>
      <w:pPr>
        <w:spacing w:line="360" w:lineRule="auto"/>
        <w:ind w:firstLine="482"/>
        <w:rPr>
          <w:rFonts w:ascii="宋体" w:hAnsi="宋体"/>
          <w:sz w:val="24"/>
        </w:rPr>
      </w:pPr>
      <w:r>
        <w:rPr>
          <w:rFonts w:hint="eastAsia" w:ascii="宋体" w:hAnsi="宋体"/>
          <w:sz w:val="24"/>
        </w:rPr>
        <w:t>ATD支持VPN流量人工智能检测，采用构建流量捕获环境进行同类应用的数据传输（包括但不局限于浏览器、邮件、聊天工具、视频流、音频流、文件传输、P2P、VoIP等），分别提取步态指纹特征数据集训练建立VPN流量检测模型，VPN流量检测模型框架。</w:t>
      </w:r>
    </w:p>
    <w:p>
      <w:pPr>
        <w:spacing w:line="360" w:lineRule="auto"/>
        <w:ind w:firstLine="482"/>
        <w:rPr>
          <w:rFonts w:ascii="宋体" w:hAnsi="宋体"/>
          <w:sz w:val="24"/>
        </w:rPr>
      </w:pPr>
      <w:r>
        <w:rPr>
          <w:rFonts w:hint="eastAsia" w:ascii="宋体" w:hAnsi="宋体"/>
          <w:sz w:val="24"/>
        </w:rPr>
        <w:t>在现网中，ATD获取实时步态指纹特征，使用VPN流量检测模型对网络流量进行VPN流量检测。</w:t>
      </w:r>
    </w:p>
    <w:p>
      <w:pPr>
        <w:pStyle w:val="15"/>
        <w:numPr>
          <w:ilvl w:val="0"/>
          <w:numId w:val="5"/>
        </w:numPr>
        <w:spacing w:line="360" w:lineRule="auto"/>
        <w:ind w:firstLineChars="0"/>
        <w:jc w:val="both"/>
        <w:rPr>
          <w:rFonts w:ascii="宋体" w:hAnsi="宋体" w:cs="宋体"/>
          <w:b w:val="0"/>
          <w:sz w:val="24"/>
        </w:rPr>
      </w:pPr>
      <w:bookmarkStart w:id="17" w:name="_Toc32108"/>
      <w:r>
        <w:rPr>
          <w:rFonts w:hint="eastAsia" w:ascii="宋体" w:hAnsi="宋体" w:cs="宋体"/>
          <w:b w:val="0"/>
          <w:sz w:val="24"/>
        </w:rPr>
        <w:t>ShadowSocks流量人工智能检测</w:t>
      </w:r>
      <w:bookmarkEnd w:id="17"/>
    </w:p>
    <w:p>
      <w:pPr>
        <w:spacing w:line="360" w:lineRule="auto"/>
        <w:ind w:firstLine="482"/>
        <w:rPr>
          <w:rFonts w:ascii="宋体" w:hAnsi="宋体"/>
          <w:sz w:val="24"/>
        </w:rPr>
      </w:pPr>
      <w:r>
        <w:rPr>
          <w:rFonts w:hint="eastAsia" w:ascii="宋体" w:hAnsi="宋体"/>
          <w:sz w:val="24"/>
        </w:rPr>
        <w:t>ATD支持ShadowSocks流量人工智能检测，构建流量捕获环境进行同类应用的数据传输（包括但不局限于浏览器、邮件、聊天工具、视频流、音频流、文件传输、P2P、VoIP等），分别提取步态指纹特征数据集，通过Shadowsocks步态指纹检测结果生成Shadowsocks的服务端黑名单和客户端黑名单，经训练建立ShadowSocks流量检测模型，ShadowSocks流量检测模型框架。ATD获取实时步态指纹特征，使用ShadowSocks流量检测模型有效精准的定位存在ShadowSocks流量的主机。</w:t>
      </w:r>
    </w:p>
    <w:p>
      <w:pPr>
        <w:pStyle w:val="15"/>
        <w:numPr>
          <w:ilvl w:val="0"/>
          <w:numId w:val="5"/>
        </w:numPr>
        <w:spacing w:line="360" w:lineRule="auto"/>
        <w:ind w:firstLineChars="0"/>
        <w:jc w:val="both"/>
        <w:rPr>
          <w:rFonts w:ascii="宋体" w:hAnsi="宋体" w:cs="宋体"/>
          <w:b w:val="0"/>
          <w:sz w:val="24"/>
        </w:rPr>
      </w:pPr>
      <w:bookmarkStart w:id="18" w:name="_Toc19387"/>
      <w:r>
        <w:rPr>
          <w:rFonts w:hint="eastAsia" w:ascii="宋体" w:hAnsi="宋体" w:cs="宋体"/>
          <w:b w:val="0"/>
          <w:sz w:val="24"/>
        </w:rPr>
        <w:t>移动应用加密流量人工智能检测</w:t>
      </w:r>
      <w:bookmarkEnd w:id="18"/>
    </w:p>
    <w:p>
      <w:pPr>
        <w:spacing w:line="360" w:lineRule="auto"/>
        <w:ind w:firstLine="482"/>
        <w:rPr>
          <w:rFonts w:ascii="宋体" w:hAnsi="宋体"/>
          <w:sz w:val="24"/>
        </w:rPr>
      </w:pPr>
      <w:r>
        <w:rPr>
          <w:rFonts w:ascii="宋体" w:hAnsi="宋体"/>
          <w:sz w:val="24"/>
        </w:rPr>
        <w:t>对手机APP应用程序流量检测整体检测，分为静态指纹检测和动态AI检测。静态指纹检测主要依赖SSL通信中Hello数据包生成方式与相应的客户端关联，构建JA3和JA3S的指纹引擎。动态指纹检测分为通信特征AI模型和步态指纹AI模型</w:t>
      </w:r>
      <w:r>
        <w:rPr>
          <w:rFonts w:hint="eastAsia" w:ascii="宋体" w:hAnsi="宋体"/>
          <w:sz w:val="24"/>
        </w:rPr>
        <w:t>。</w:t>
      </w:r>
    </w:p>
    <w:p>
      <w:pPr>
        <w:spacing w:line="360" w:lineRule="auto"/>
        <w:ind w:firstLine="482"/>
        <w:rPr>
          <w:rFonts w:ascii="宋体" w:hAnsi="宋体"/>
          <w:sz w:val="24"/>
        </w:rPr>
      </w:pPr>
      <w:r>
        <w:rPr>
          <w:rFonts w:ascii="宋体" w:hAnsi="宋体"/>
          <w:sz w:val="24"/>
        </w:rPr>
        <w:t>分别刻画不同手机APP通信流量特征，通过AI大数据和机器学习集成模型算法来识别手机APP流量，三个模型输出的最终结果到达关联引擎，综合判定APP流量类型。</w:t>
      </w:r>
    </w:p>
    <w:p>
      <w:pPr>
        <w:pStyle w:val="15"/>
        <w:numPr>
          <w:ilvl w:val="0"/>
          <w:numId w:val="5"/>
        </w:numPr>
        <w:spacing w:line="360" w:lineRule="auto"/>
        <w:ind w:firstLineChars="0"/>
        <w:jc w:val="both"/>
        <w:rPr>
          <w:rFonts w:ascii="宋体" w:hAnsi="宋体" w:cs="宋体"/>
          <w:b w:val="0"/>
          <w:sz w:val="24"/>
        </w:rPr>
      </w:pPr>
      <w:bookmarkStart w:id="19" w:name="_Toc22518"/>
      <w:r>
        <w:rPr>
          <w:rFonts w:hint="eastAsia" w:ascii="宋体" w:hAnsi="宋体" w:cs="宋体"/>
          <w:b w:val="0"/>
          <w:sz w:val="24"/>
        </w:rPr>
        <w:t>WEB攻击人工智能检测</w:t>
      </w:r>
      <w:bookmarkEnd w:id="19"/>
    </w:p>
    <w:p>
      <w:pPr>
        <w:spacing w:line="360" w:lineRule="auto"/>
        <w:ind w:firstLine="482"/>
        <w:rPr>
          <w:rFonts w:ascii="宋体" w:hAnsi="宋体"/>
          <w:sz w:val="24"/>
        </w:rPr>
      </w:pPr>
      <w:bookmarkStart w:id="20" w:name="_Toc6016"/>
      <w:r>
        <w:rPr>
          <w:rFonts w:hint="eastAsia" w:ascii="宋体" w:hAnsi="宋体"/>
          <w:sz w:val="24"/>
        </w:rPr>
        <w:t>SQL注入攻击人工智能检测</w:t>
      </w:r>
      <w:bookmarkEnd w:id="20"/>
    </w:p>
    <w:p>
      <w:pPr>
        <w:spacing w:line="360" w:lineRule="auto"/>
        <w:ind w:firstLine="482"/>
        <w:rPr>
          <w:rFonts w:ascii="宋体" w:hAnsi="宋体"/>
          <w:sz w:val="24"/>
        </w:rPr>
      </w:pPr>
      <w:r>
        <w:rPr>
          <w:rFonts w:hint="eastAsia" w:ascii="宋体" w:hAnsi="宋体"/>
          <w:sz w:val="24"/>
        </w:rPr>
        <w:t>ATD支持SQL注入攻击人工智能检测，利用机器学习、集成学习和强化学习技术构建SQL注入攻击检测模型。</w:t>
      </w:r>
    </w:p>
    <w:p>
      <w:pPr>
        <w:spacing w:line="360" w:lineRule="auto"/>
        <w:ind w:firstLine="482"/>
        <w:rPr>
          <w:rFonts w:ascii="宋体" w:hAnsi="宋体"/>
          <w:sz w:val="24"/>
        </w:rPr>
      </w:pPr>
      <w:r>
        <w:rPr>
          <w:rFonts w:hint="eastAsia" w:ascii="宋体" w:hAnsi="宋体"/>
          <w:sz w:val="24"/>
        </w:rPr>
        <w:t>通过提取Web的URI、POST内容、User-Agent等其他HTTP头部信息，递归解码后，提取参数键值内容，基于SQL关键字泛化后生成word embedding特征后进入模型检测，判断是否存在SQL注入。</w:t>
      </w:r>
    </w:p>
    <w:p>
      <w:pPr>
        <w:pStyle w:val="15"/>
        <w:numPr>
          <w:ilvl w:val="0"/>
          <w:numId w:val="5"/>
        </w:numPr>
        <w:spacing w:line="360" w:lineRule="auto"/>
        <w:ind w:firstLineChars="0"/>
        <w:jc w:val="both"/>
        <w:rPr>
          <w:rFonts w:ascii="宋体" w:hAnsi="宋体" w:cs="宋体"/>
          <w:b w:val="0"/>
          <w:sz w:val="24"/>
        </w:rPr>
      </w:pPr>
      <w:bookmarkStart w:id="21" w:name="_Toc3872"/>
      <w:r>
        <w:rPr>
          <w:rFonts w:hint="eastAsia" w:ascii="宋体" w:hAnsi="宋体" w:cs="宋体"/>
          <w:b w:val="0"/>
          <w:sz w:val="24"/>
        </w:rPr>
        <w:t>XSS跨站攻击人工智能检测</w:t>
      </w:r>
      <w:bookmarkEnd w:id="21"/>
    </w:p>
    <w:p>
      <w:pPr>
        <w:spacing w:line="360" w:lineRule="auto"/>
        <w:ind w:firstLine="482"/>
        <w:rPr>
          <w:rFonts w:ascii="宋体" w:hAnsi="宋体"/>
          <w:sz w:val="24"/>
        </w:rPr>
      </w:pPr>
      <w:r>
        <w:rPr>
          <w:rFonts w:hint="eastAsia" w:ascii="宋体" w:hAnsi="宋体"/>
          <w:sz w:val="24"/>
        </w:rPr>
        <w:t>ATD支持XSS跨站攻击人工智能检测，利用机器学习、集成学习和强化学习技术构建XSS检测模型。</w:t>
      </w:r>
    </w:p>
    <w:p>
      <w:pPr>
        <w:spacing w:line="360" w:lineRule="auto"/>
        <w:ind w:firstLine="482"/>
        <w:rPr>
          <w:rFonts w:ascii="宋体" w:hAnsi="宋体"/>
          <w:sz w:val="24"/>
        </w:rPr>
      </w:pPr>
      <w:r>
        <w:rPr>
          <w:rFonts w:ascii="宋体" w:hAnsi="宋体"/>
          <w:sz w:val="24"/>
        </w:rPr>
        <w:t>通过提取Web的URI、POST内容、User-Agent等其他HTTP头部信息，递归解码后，提取参数键值内容，基于JavaScript/HTML等其他关键字泛化后生成word embedding特征后进入模型检测，判断是否存在XSS。</w:t>
      </w:r>
    </w:p>
    <w:p>
      <w:pPr>
        <w:pStyle w:val="15"/>
        <w:numPr>
          <w:ilvl w:val="0"/>
          <w:numId w:val="5"/>
        </w:numPr>
        <w:spacing w:line="360" w:lineRule="auto"/>
        <w:ind w:firstLineChars="0"/>
        <w:jc w:val="both"/>
        <w:rPr>
          <w:rFonts w:ascii="宋体" w:hAnsi="宋体" w:cs="宋体"/>
          <w:b w:val="0"/>
          <w:sz w:val="24"/>
        </w:rPr>
      </w:pPr>
      <w:bookmarkStart w:id="22" w:name="_Toc7356"/>
      <w:r>
        <w:rPr>
          <w:rFonts w:hint="eastAsia" w:ascii="宋体" w:hAnsi="宋体" w:cs="宋体"/>
          <w:b w:val="0"/>
          <w:sz w:val="24"/>
        </w:rPr>
        <w:t>WebShell网页后门人工智能检测</w:t>
      </w:r>
      <w:bookmarkEnd w:id="22"/>
    </w:p>
    <w:p>
      <w:pPr>
        <w:spacing w:line="360" w:lineRule="auto"/>
        <w:ind w:firstLine="482"/>
        <w:rPr>
          <w:rFonts w:ascii="宋体" w:hAnsi="宋体"/>
          <w:sz w:val="24"/>
        </w:rPr>
      </w:pPr>
      <w:r>
        <w:rPr>
          <w:rFonts w:hint="eastAsia" w:ascii="宋体" w:hAnsi="宋体"/>
          <w:sz w:val="24"/>
        </w:rPr>
        <w:t>ATD支持Webshell网页后门人工智能检测，通过搭建Webshell运行环境，利用词袋与TF-IDF技术提取特征，同时利用uri/request body/response body，</w:t>
      </w:r>
      <w:r>
        <w:rPr>
          <w:rFonts w:ascii="宋体" w:hAnsi="宋体"/>
          <w:sz w:val="24"/>
        </w:rPr>
        <w:t>URI中的资源文件名称和动作</w:t>
      </w:r>
      <w:r>
        <w:rPr>
          <w:rFonts w:hint="eastAsia" w:ascii="宋体" w:hAnsi="宋体"/>
          <w:sz w:val="24"/>
        </w:rPr>
        <w:t>建立静态AI检测模型；通过php动态脚本opcode提取N-Gram特征建立动态AI检测模型；通过异常特征统计、异常流量会话构建动态AI异常检测模型。</w:t>
      </w:r>
    </w:p>
    <w:p>
      <w:pPr>
        <w:pStyle w:val="15"/>
        <w:numPr>
          <w:ilvl w:val="0"/>
          <w:numId w:val="5"/>
        </w:numPr>
        <w:spacing w:line="360" w:lineRule="auto"/>
        <w:ind w:firstLineChars="0"/>
        <w:jc w:val="both"/>
        <w:rPr>
          <w:rFonts w:ascii="宋体" w:hAnsi="宋体" w:cs="宋体"/>
          <w:b w:val="0"/>
          <w:sz w:val="24"/>
        </w:rPr>
      </w:pPr>
      <w:bookmarkStart w:id="23" w:name="_Toc4323"/>
      <w:r>
        <w:rPr>
          <w:rFonts w:hint="eastAsia" w:ascii="宋体" w:hAnsi="宋体" w:cs="宋体"/>
          <w:b w:val="0"/>
          <w:sz w:val="24"/>
        </w:rPr>
        <w:t>隐蔽隧道人工智能检测</w:t>
      </w:r>
      <w:bookmarkEnd w:id="23"/>
    </w:p>
    <w:p>
      <w:pPr>
        <w:spacing w:line="360" w:lineRule="auto"/>
        <w:ind w:firstLine="482"/>
        <w:rPr>
          <w:rFonts w:ascii="宋体" w:hAnsi="宋体"/>
          <w:sz w:val="24"/>
        </w:rPr>
      </w:pPr>
      <w:bookmarkStart w:id="24" w:name="_Toc11816"/>
      <w:r>
        <w:rPr>
          <w:rFonts w:hint="eastAsia" w:ascii="宋体" w:hAnsi="宋体"/>
          <w:sz w:val="24"/>
        </w:rPr>
        <w:t>DNS隐蔽隧道人工智能检测</w:t>
      </w:r>
      <w:bookmarkEnd w:id="24"/>
    </w:p>
    <w:p>
      <w:pPr>
        <w:spacing w:line="360" w:lineRule="auto"/>
        <w:ind w:firstLine="482"/>
        <w:rPr>
          <w:rFonts w:ascii="宋体" w:hAnsi="宋体"/>
          <w:sz w:val="24"/>
        </w:rPr>
      </w:pPr>
      <w:r>
        <w:rPr>
          <w:rFonts w:hint="eastAsia" w:ascii="宋体" w:hAnsi="宋体"/>
          <w:sz w:val="24"/>
        </w:rPr>
        <w:t>DNS Tunneling，是隐蔽信道的一种，通过将其他协议或数据封装在DNS协议中传输建立通信。</w:t>
      </w:r>
    </w:p>
    <w:p>
      <w:pPr>
        <w:spacing w:line="360" w:lineRule="auto"/>
        <w:ind w:firstLine="482"/>
        <w:rPr>
          <w:rFonts w:ascii="宋体" w:hAnsi="宋体"/>
          <w:sz w:val="24"/>
        </w:rPr>
      </w:pPr>
      <w:r>
        <w:rPr>
          <w:rFonts w:hint="eastAsia" w:ascii="宋体" w:hAnsi="宋体"/>
          <w:sz w:val="24"/>
        </w:rPr>
        <w:t>ATD支持DNS隐蔽隧道人工智能检测，通过渗透环境搭建收集黑数据和白数据，生成用于分类DNS隧道和正常DNS数据的样本集合，利用基于窗口的DNS隐蔽隧道特征向量（DNS隧道空间、回应包的长度、qname 中数字字符占比等），构建DNS隐蔽隧道检测模型。</w:t>
      </w:r>
    </w:p>
    <w:p>
      <w:pPr>
        <w:spacing w:line="360" w:lineRule="auto"/>
        <w:ind w:firstLine="482"/>
        <w:rPr>
          <w:rFonts w:ascii="宋体" w:hAnsi="宋体"/>
          <w:sz w:val="24"/>
        </w:rPr>
      </w:pPr>
      <w:r>
        <w:rPr>
          <w:rFonts w:hint="eastAsia" w:ascii="宋体" w:hAnsi="宋体"/>
          <w:sz w:val="24"/>
        </w:rPr>
        <w:t>在现网中使用DNS隐蔽隧道检测模型对网络流量进行DNS隐蔽隧道检测。</w:t>
      </w:r>
    </w:p>
    <w:p>
      <w:pPr>
        <w:pStyle w:val="15"/>
        <w:numPr>
          <w:ilvl w:val="0"/>
          <w:numId w:val="5"/>
        </w:numPr>
        <w:spacing w:line="360" w:lineRule="auto"/>
        <w:ind w:firstLineChars="0"/>
        <w:jc w:val="both"/>
        <w:rPr>
          <w:rFonts w:ascii="宋体" w:hAnsi="宋体" w:cs="宋体"/>
          <w:b w:val="0"/>
          <w:sz w:val="24"/>
        </w:rPr>
      </w:pPr>
      <w:bookmarkStart w:id="25" w:name="_Toc20533"/>
      <w:r>
        <w:rPr>
          <w:rFonts w:hint="eastAsia" w:ascii="宋体" w:hAnsi="宋体" w:cs="宋体"/>
          <w:b w:val="0"/>
          <w:sz w:val="24"/>
        </w:rPr>
        <w:t>HTTP隐蔽隧道人工智能检测</w:t>
      </w:r>
      <w:bookmarkEnd w:id="25"/>
    </w:p>
    <w:p>
      <w:pPr>
        <w:spacing w:line="360" w:lineRule="auto"/>
        <w:ind w:firstLine="482"/>
        <w:rPr>
          <w:rFonts w:ascii="宋体" w:hAnsi="宋体"/>
          <w:sz w:val="24"/>
        </w:rPr>
      </w:pPr>
      <w:r>
        <w:rPr>
          <w:rFonts w:hint="eastAsia" w:ascii="宋体" w:hAnsi="宋体"/>
          <w:sz w:val="24"/>
        </w:rPr>
        <w:t>ATD支持HTTP隐蔽隧道人工智能检测，通过提取原始流量HTTP流量特征，规则引擎用来打标和清洗过滤HTTP流量，经标注的正常流量和HTTP隧道流量分别经过自动化特征提取引擎，提取出重要特征，异常检测模型根据特征建立HTTP隐蔽隧道流量识别模型。</w:t>
      </w:r>
    </w:p>
    <w:p>
      <w:pPr>
        <w:pStyle w:val="15"/>
        <w:numPr>
          <w:ilvl w:val="0"/>
          <w:numId w:val="5"/>
        </w:numPr>
        <w:spacing w:line="360" w:lineRule="auto"/>
        <w:ind w:firstLineChars="0"/>
        <w:jc w:val="both"/>
        <w:rPr>
          <w:rFonts w:ascii="宋体" w:hAnsi="宋体" w:cs="宋体"/>
          <w:b w:val="0"/>
          <w:sz w:val="24"/>
        </w:rPr>
      </w:pPr>
      <w:bookmarkStart w:id="26" w:name="_Toc18036"/>
      <w:r>
        <w:rPr>
          <w:rFonts w:hint="eastAsia" w:ascii="宋体" w:hAnsi="宋体" w:cs="宋体"/>
          <w:b w:val="0"/>
          <w:sz w:val="24"/>
        </w:rPr>
        <w:t>DGA域名人工智能检测</w:t>
      </w:r>
      <w:bookmarkEnd w:id="26"/>
    </w:p>
    <w:p>
      <w:pPr>
        <w:spacing w:line="360" w:lineRule="auto"/>
        <w:ind w:firstLine="482"/>
        <w:rPr>
          <w:rFonts w:ascii="宋体" w:hAnsi="宋体"/>
          <w:sz w:val="24"/>
        </w:rPr>
      </w:pPr>
      <w:r>
        <w:rPr>
          <w:rFonts w:hint="eastAsia" w:ascii="宋体" w:hAnsi="宋体"/>
          <w:sz w:val="24"/>
        </w:rPr>
        <w:t>DGA (Domain Generation Algorithm，域名生成算法)的设计思想是，malware代码里不写入域名字符串，而是使用一个私有的随机字符串生成算法，按照日期或者其他随机种子，每天生成一些随机字符串然后用其中的一些当作C&amp;C域名。</w:t>
      </w:r>
    </w:p>
    <w:p>
      <w:pPr>
        <w:spacing w:line="360" w:lineRule="auto"/>
        <w:ind w:firstLine="482"/>
        <w:rPr>
          <w:rFonts w:ascii="宋体" w:hAnsi="宋体"/>
          <w:sz w:val="24"/>
        </w:rPr>
      </w:pPr>
      <w:r>
        <w:rPr>
          <w:rFonts w:hint="eastAsia" w:ascii="宋体" w:hAnsi="宋体"/>
          <w:sz w:val="24"/>
        </w:rPr>
        <w:t>ATD支持DGA域名人工智能检测，通过建立针对DGA生成域名的长短期记忆神经网络LSTM深度学习模型，用海量DGA生成域名和正常域名对深度学习模型进行训练，使深度学习模型具备识别能力。在捕捉到网络流量中的域名信息后，将之输入深度学习模型进行识别，深度学习模型输出该域名是否为DGA生成的域名，进而准确定位受控主机。</w:t>
      </w:r>
    </w:p>
    <w:p>
      <w:pPr>
        <w:pStyle w:val="3"/>
        <w:rPr>
          <w:color w:val="000000" w:themeColor="text1"/>
          <w14:textFill>
            <w14:solidFill>
              <w14:schemeClr w14:val="tx1"/>
            </w14:solidFill>
          </w14:textFill>
        </w:rPr>
      </w:pPr>
      <w:bookmarkStart w:id="27" w:name="_Toc150282030"/>
      <w:r>
        <w:rPr>
          <w:rFonts w:hint="eastAsia"/>
          <w:color w:val="000000" w:themeColor="text1"/>
          <w14:textFill>
            <w14:solidFill>
              <w14:schemeClr w14:val="tx1"/>
            </w14:solidFill>
          </w14:textFill>
        </w:rPr>
        <w:t>安全监管平台设计效果</w:t>
      </w:r>
      <w:bookmarkEnd w:id="27"/>
    </w:p>
    <w:p>
      <w:pPr>
        <w:spacing w:line="360" w:lineRule="auto"/>
        <w:ind w:firstLine="482"/>
        <w:rPr>
          <w:rFonts w:ascii="宋体" w:hAnsi="宋体"/>
          <w:sz w:val="24"/>
        </w:rPr>
      </w:pPr>
      <w:r>
        <w:rPr>
          <w:rFonts w:hint="eastAsia" w:ascii="宋体" w:hAnsi="宋体"/>
          <w:sz w:val="24"/>
        </w:rPr>
        <w:t>部署安全监管平台，实现对各个单元网络的性能采集、安全监控和必要的日志收集。</w:t>
      </w:r>
    </w:p>
    <w:p>
      <w:pPr>
        <w:spacing w:line="360" w:lineRule="auto"/>
        <w:ind w:firstLine="482"/>
        <w:rPr>
          <w:rFonts w:ascii="宋体" w:hAnsi="宋体"/>
          <w:sz w:val="24"/>
        </w:rPr>
      </w:pPr>
      <w:r>
        <w:rPr>
          <w:rFonts w:ascii="宋体" w:hAnsi="宋体"/>
          <w:sz w:val="24"/>
        </w:rPr>
        <w:t>信息安全管理系统给用户带来的一个关键价值就是可以提供一个总体安全监控平台，并通过该平台集中展示整个</w:t>
      </w:r>
      <w:r>
        <w:rPr>
          <w:rFonts w:hint="eastAsia" w:ascii="宋体" w:hAnsi="宋体"/>
          <w:sz w:val="24"/>
        </w:rPr>
        <w:t>网络</w:t>
      </w:r>
      <w:r>
        <w:rPr>
          <w:rFonts w:ascii="宋体" w:hAnsi="宋体"/>
          <w:sz w:val="24"/>
        </w:rPr>
        <w:t>中的安全信息和攻击威胁。为了达到直观易用并且符合用户使用习惯的高效监控能力，</w:t>
      </w:r>
      <w:r>
        <w:rPr>
          <w:rFonts w:hint="eastAsia" w:ascii="宋体" w:hAnsi="宋体"/>
          <w:sz w:val="24"/>
        </w:rPr>
        <w:t>信息安全管理系统应</w:t>
      </w:r>
      <w:r>
        <w:rPr>
          <w:rFonts w:ascii="宋体" w:hAnsi="宋体"/>
          <w:sz w:val="24"/>
        </w:rPr>
        <w:t>提供专业的安全监控拓扑。该拓扑可根据实际的环境自由定义，直观展现信息网站的物理部署拓扑，可使用户从全局视角了解整体生产环境的信息控制安全。</w:t>
      </w:r>
    </w:p>
    <w:p>
      <w:pPr>
        <w:spacing w:line="360" w:lineRule="auto"/>
        <w:ind w:firstLine="482"/>
        <w:rPr>
          <w:rFonts w:ascii="宋体" w:hAnsi="宋体"/>
          <w:sz w:val="24"/>
        </w:rPr>
      </w:pPr>
      <w:r>
        <w:rPr>
          <w:rFonts w:ascii="宋体" w:hAnsi="宋体"/>
          <w:sz w:val="24"/>
        </w:rPr>
        <w:t>安全监控拓扑提供了</w:t>
      </w:r>
      <w:r>
        <w:rPr>
          <w:rFonts w:hint="eastAsia" w:ascii="宋体" w:hAnsi="宋体"/>
          <w:sz w:val="24"/>
        </w:rPr>
        <w:t>各种</w:t>
      </w:r>
      <w:r>
        <w:rPr>
          <w:rFonts w:ascii="宋体" w:hAnsi="宋体"/>
          <w:sz w:val="24"/>
        </w:rPr>
        <w:t>风格的展现效果，可通过丰富的设备类型和网络表现形式展现生产制造等不同领域的环境。通过该拓扑用户犹如直接面对全环境的各类控制和运行设备，并且该拓扑是安全的晴雨表，如果网络中那台设备出现安全告警或故障问题，将实时在拓扑图标上闪烁告警，提醒监控运维人员尽快处理。</w:t>
      </w:r>
    </w:p>
    <w:p>
      <w:pPr>
        <w:spacing w:line="360" w:lineRule="auto"/>
        <w:ind w:firstLine="482"/>
        <w:rPr>
          <w:rFonts w:ascii="宋体" w:hAnsi="宋体"/>
          <w:sz w:val="24"/>
        </w:rPr>
      </w:pPr>
      <w:r>
        <w:rPr>
          <w:rFonts w:ascii="宋体" w:hAnsi="宋体"/>
          <w:sz w:val="24"/>
        </w:rPr>
        <w:t>安全监控拓扑同时是安全监控的信息展示入口，可任意点击拓扑上的设备快捷的获得设备的基础信息和监控概要信息，如果需要对设备进行重点关注的话，可进一步进入该设备的详细监控视图，可完整监视与这台设备相关的各类安全信息，包括漏洞信息、安全事件信息、告警信息、性能状态信息等等。</w:t>
      </w:r>
    </w:p>
    <w:p>
      <w:pPr>
        <w:spacing w:line="360" w:lineRule="auto"/>
        <w:ind w:firstLine="482"/>
        <w:rPr>
          <w:rFonts w:ascii="宋体" w:hAnsi="宋体"/>
          <w:sz w:val="24"/>
        </w:rPr>
      </w:pPr>
      <w:r>
        <w:rPr>
          <w:rFonts w:ascii="宋体" w:hAnsi="宋体"/>
          <w:sz w:val="24"/>
        </w:rPr>
        <w:t>安全监控拓扑是信息安全管理系统综合全部安全监控能力，直观展现威胁，提升用户监视与运维效率的有力体现。</w:t>
      </w:r>
    </w:p>
    <w:p>
      <w:pPr>
        <w:numPr>
          <w:ilvl w:val="0"/>
          <w:numId w:val="6"/>
        </w:numPr>
        <w:spacing w:line="360" w:lineRule="auto"/>
        <w:rPr>
          <w:rFonts w:hAnsi="宋体"/>
          <w:snapToGrid w:val="0"/>
          <w:kern w:val="0"/>
          <w:sz w:val="24"/>
          <w:szCs w:val="21"/>
        </w:rPr>
      </w:pPr>
      <w:bookmarkStart w:id="28" w:name="_Toc433604368"/>
      <w:bookmarkStart w:id="29" w:name="_Toc403747238"/>
      <w:r>
        <w:rPr>
          <w:rFonts w:hAnsi="宋体"/>
          <w:snapToGrid w:val="0"/>
          <w:kern w:val="0"/>
          <w:sz w:val="24"/>
          <w:szCs w:val="21"/>
        </w:rPr>
        <w:t>设备管理</w:t>
      </w:r>
      <w:bookmarkEnd w:id="28"/>
      <w:bookmarkEnd w:id="29"/>
    </w:p>
    <w:p>
      <w:pPr>
        <w:spacing w:line="360" w:lineRule="auto"/>
        <w:ind w:firstLine="482"/>
        <w:rPr>
          <w:rFonts w:ascii="宋体" w:hAnsi="宋体"/>
          <w:sz w:val="24"/>
        </w:rPr>
      </w:pPr>
      <w:r>
        <w:rPr>
          <w:rFonts w:ascii="宋体" w:hAnsi="宋体"/>
          <w:sz w:val="24"/>
        </w:rPr>
        <w:t>生产的信息控制网络中包含有大量的管理信息类、控制类、调度优化类、生产执行类设备，企业或者工厂的规模越大则设备数量和种类就越多越复杂，无疑管理的难度就更高。而对于工控安全来说，本质上就是保障各类工控设备及通信链路正常稳定运行。因此安全防护以及集中监控的首要工作就是识别并梳理全网环境中的设备资产，并以此为基础关联全部的安全信息进行展示和威胁分析。</w:t>
      </w:r>
    </w:p>
    <w:p>
      <w:pPr>
        <w:spacing w:line="360" w:lineRule="auto"/>
        <w:ind w:firstLine="482"/>
        <w:rPr>
          <w:rFonts w:ascii="宋体" w:hAnsi="宋体"/>
          <w:sz w:val="24"/>
        </w:rPr>
      </w:pPr>
      <w:r>
        <w:rPr>
          <w:rFonts w:ascii="宋体" w:hAnsi="宋体"/>
          <w:sz w:val="24"/>
        </w:rPr>
        <w:t>设备管理可以维护从监控层、控制层到生产层各类工控设备的信息维护管理，设备基础信息除了手动创建，还支持自动发现和批量导入以应对设备数量庞大的工控用户。设备资产可以以资产树的形式和对用工控动态拓扑的方式进行</w:t>
      </w:r>
    </w:p>
    <w:p>
      <w:pPr>
        <w:spacing w:line="360" w:lineRule="auto"/>
        <w:ind w:firstLine="482"/>
        <w:rPr>
          <w:rFonts w:ascii="宋体" w:hAnsi="宋体"/>
          <w:sz w:val="24"/>
        </w:rPr>
      </w:pPr>
      <w:r>
        <w:rPr>
          <w:rFonts w:ascii="宋体" w:hAnsi="宋体"/>
          <w:sz w:val="24"/>
        </w:rPr>
        <w:t>系统在资产管理功能中，除了记录资产的基本属性，还维护着资产的安全属性，包括CIA（Confidentiality/Integrality/Availability，私密性、完整性、可用性）三种属性。系统能够根据资产的安全属性遭受破坏后对所属业务系统的影响性程度计算出资产的价值，并进而计算出安全域和业务系统的价值。软件界面显示更友好的展示用户设备信息，用户可对资产信息进行编辑设置，配置与实际生产环境一直的资产显示环境界面。</w:t>
      </w:r>
    </w:p>
    <w:p>
      <w:pPr>
        <w:numPr>
          <w:ilvl w:val="0"/>
          <w:numId w:val="6"/>
        </w:numPr>
        <w:spacing w:line="360" w:lineRule="auto"/>
        <w:rPr>
          <w:rFonts w:hAnsi="宋体"/>
          <w:snapToGrid w:val="0"/>
          <w:kern w:val="0"/>
          <w:sz w:val="24"/>
          <w:szCs w:val="21"/>
        </w:rPr>
      </w:pPr>
      <w:bookmarkStart w:id="30" w:name="_Toc433604369"/>
      <w:bookmarkStart w:id="31" w:name="_Toc403747251"/>
      <w:bookmarkStart w:id="32" w:name="_Toc403747252"/>
      <w:r>
        <w:rPr>
          <w:rFonts w:hAnsi="宋体"/>
          <w:snapToGrid w:val="0"/>
          <w:kern w:val="0"/>
          <w:sz w:val="24"/>
          <w:szCs w:val="21"/>
        </w:rPr>
        <w:t>事件管理</w:t>
      </w:r>
      <w:bookmarkEnd w:id="30"/>
      <w:bookmarkEnd w:id="31"/>
    </w:p>
    <w:p>
      <w:pPr>
        <w:spacing w:line="360" w:lineRule="auto"/>
        <w:ind w:firstLine="482"/>
        <w:rPr>
          <w:rFonts w:ascii="宋体" w:hAnsi="宋体"/>
          <w:sz w:val="24"/>
        </w:rPr>
      </w:pPr>
      <w:r>
        <w:rPr>
          <w:rFonts w:ascii="宋体" w:hAnsi="宋体"/>
          <w:sz w:val="24"/>
        </w:rPr>
        <w:t>信息安全管理系统提供了强大的事件采集与集中展现功能，可采集环境中全部设备的运行日志、告警信息，以及全网部署的安全设备所产生的威胁事件。系统支持海量日志的本地存储或分布式存储，并利用最先进的分布式检索技术实现海量信息的秒级检索。在展现方面信息安全管理系统提供有丰富多样的展示方式，提供了面向数据特点和人员操作习惯的最佳数据可视化体验，包括展现数据对比关系的视图、反映事件访问关系的视网膜图、反映事件发展历程的追溯视图，直观表现事件起始位置的定位地图等。</w:t>
      </w:r>
    </w:p>
    <w:p>
      <w:pPr>
        <w:spacing w:line="360" w:lineRule="auto"/>
        <w:ind w:firstLine="482"/>
        <w:rPr>
          <w:rFonts w:ascii="宋体" w:hAnsi="宋体"/>
          <w:sz w:val="24"/>
        </w:rPr>
      </w:pPr>
      <w:r>
        <w:rPr>
          <w:rFonts w:ascii="宋体" w:hAnsi="宋体"/>
          <w:sz w:val="24"/>
        </w:rPr>
        <w:t>事件管理中包含实时监视、实时统计、历史统计、历史查询、历史关联五项功能。</w:t>
      </w:r>
    </w:p>
    <w:p>
      <w:pPr>
        <w:spacing w:line="360" w:lineRule="auto"/>
        <w:ind w:firstLine="482"/>
        <w:rPr>
          <w:rFonts w:ascii="宋体" w:hAnsi="宋体"/>
          <w:sz w:val="24"/>
        </w:rPr>
      </w:pPr>
      <w:r>
        <w:rPr>
          <w:rFonts w:ascii="宋体" w:hAnsi="宋体"/>
          <w:sz w:val="24"/>
        </w:rPr>
        <w:t>实时监测，实时解析日志信息，实时动态展示。用户可以通过丰富的事件分析策略对全网的安全事件进行全方位、多视角、大跨度、细粒度的实时监测、统计分析、查询、调查、追溯、地图定位、可视化分析展示等等。</w:t>
      </w:r>
    </w:p>
    <w:p>
      <w:pPr>
        <w:spacing w:line="360" w:lineRule="auto"/>
        <w:ind w:firstLine="482"/>
        <w:rPr>
          <w:rFonts w:ascii="宋体" w:hAnsi="宋体"/>
          <w:sz w:val="24"/>
        </w:rPr>
      </w:pPr>
      <w:r>
        <w:rPr>
          <w:rFonts w:ascii="宋体" w:hAnsi="宋体"/>
          <w:sz w:val="24"/>
        </w:rPr>
        <w:t>实时监控提供多种可视化功能，帮助熟练的使用者第一时间发现网络异常，及时采取措施，</w:t>
      </w:r>
    </w:p>
    <w:p>
      <w:pPr>
        <w:spacing w:line="360" w:lineRule="auto"/>
        <w:ind w:firstLine="482"/>
        <w:rPr>
          <w:rFonts w:ascii="宋体" w:hAnsi="宋体"/>
          <w:sz w:val="24"/>
        </w:rPr>
      </w:pPr>
      <w:r>
        <w:rPr>
          <w:rFonts w:ascii="宋体" w:hAnsi="宋体"/>
          <w:sz w:val="24"/>
        </w:rPr>
        <w:t>历史查询、历史关联等功能，针对历史数据，本系统提供用户细粒度分析功能。</w:t>
      </w:r>
    </w:p>
    <w:p>
      <w:pPr>
        <w:spacing w:line="360" w:lineRule="auto"/>
        <w:ind w:firstLine="482"/>
        <w:rPr>
          <w:rFonts w:ascii="宋体" w:hAnsi="宋体"/>
          <w:sz w:val="24"/>
        </w:rPr>
      </w:pPr>
      <w:r>
        <w:rPr>
          <w:rFonts w:ascii="宋体" w:hAnsi="宋体"/>
          <w:sz w:val="24"/>
        </w:rPr>
        <w:t>对于事件的查询，系统自动分类，提供详细事件信息，事件查询中提供关联分析功能，帮助使用者进行深度关联分析，方便查找故障原由。</w:t>
      </w:r>
    </w:p>
    <w:p>
      <w:pPr>
        <w:numPr>
          <w:ilvl w:val="0"/>
          <w:numId w:val="6"/>
        </w:numPr>
        <w:spacing w:line="360" w:lineRule="auto"/>
        <w:rPr>
          <w:rFonts w:hAnsi="宋体"/>
          <w:snapToGrid w:val="0"/>
          <w:kern w:val="0"/>
          <w:sz w:val="24"/>
          <w:szCs w:val="21"/>
        </w:rPr>
      </w:pPr>
      <w:bookmarkStart w:id="33" w:name="_Toc433604370"/>
      <w:r>
        <w:rPr>
          <w:rFonts w:hAnsi="宋体"/>
          <w:snapToGrid w:val="0"/>
          <w:kern w:val="0"/>
          <w:sz w:val="24"/>
          <w:szCs w:val="21"/>
        </w:rPr>
        <w:t>性能监测</w:t>
      </w:r>
      <w:bookmarkEnd w:id="32"/>
      <w:bookmarkEnd w:id="33"/>
    </w:p>
    <w:p>
      <w:pPr>
        <w:spacing w:line="360" w:lineRule="auto"/>
        <w:ind w:firstLine="482"/>
        <w:rPr>
          <w:rFonts w:ascii="宋体" w:hAnsi="宋体"/>
          <w:sz w:val="24"/>
        </w:rPr>
      </w:pPr>
      <w:r>
        <w:rPr>
          <w:rFonts w:ascii="宋体" w:hAnsi="宋体"/>
          <w:sz w:val="24"/>
        </w:rPr>
        <w:t>该解决方案采集网络中数据包信息中包含各主机的性能日志信息，如cpu利用率，内存使用率等可用性信息。性能监控包括安全设备性能监控、主机监控、数据库监控、中间件监控等，同时也对解决方案自身系统状态进行监控。</w:t>
      </w:r>
    </w:p>
    <w:p>
      <w:pPr>
        <w:spacing w:line="360" w:lineRule="auto"/>
        <w:ind w:firstLine="482"/>
        <w:rPr>
          <w:rFonts w:ascii="宋体" w:hAnsi="宋体"/>
          <w:sz w:val="24"/>
        </w:rPr>
      </w:pPr>
      <w:r>
        <w:rPr>
          <w:rFonts w:ascii="宋体" w:hAnsi="宋体"/>
          <w:sz w:val="24"/>
        </w:rPr>
        <w:t>系统</w:t>
      </w:r>
      <w:r>
        <w:rPr>
          <w:rFonts w:hint="eastAsia" w:ascii="宋体" w:hAnsi="宋体"/>
          <w:sz w:val="24"/>
        </w:rPr>
        <w:t>应</w:t>
      </w:r>
      <w:r>
        <w:rPr>
          <w:rFonts w:ascii="宋体" w:hAnsi="宋体"/>
          <w:sz w:val="24"/>
        </w:rPr>
        <w:t>自带性能信息采集功能，同时也支持在用户网络中分布式部署多个性能采集器，就近采集管理对象的性能信息，包括可用性信息、运行状态信息、性能信息等，并汇聚到管理中心，从而实现对分散管理对象的性能信息采集，同时提高性能监测的并行性，进而提升性能监测的性能。</w:t>
      </w:r>
    </w:p>
    <w:p>
      <w:pPr>
        <w:pStyle w:val="2"/>
        <w:rPr>
          <w:color w:val="000000" w:themeColor="text1"/>
          <w14:textFill>
            <w14:solidFill>
              <w14:schemeClr w14:val="tx1"/>
            </w14:solidFill>
          </w14:textFill>
        </w:rPr>
      </w:pPr>
      <w:bookmarkStart w:id="34" w:name="_Toc150282031"/>
      <w:r>
        <w:rPr>
          <w:rFonts w:hint="eastAsia"/>
          <w:color w:val="000000" w:themeColor="text1"/>
          <w14:textFill>
            <w14:solidFill>
              <w14:schemeClr w14:val="tx1"/>
            </w14:solidFill>
          </w14:textFill>
        </w:rPr>
        <w:t>终端安全设计</w:t>
      </w:r>
      <w:bookmarkEnd w:id="34"/>
    </w:p>
    <w:p>
      <w:pPr>
        <w:pStyle w:val="3"/>
      </w:pPr>
      <w:bookmarkStart w:id="35" w:name="_Toc150282032"/>
      <w:r>
        <w:rPr>
          <w:rFonts w:hint="eastAsia"/>
        </w:rPr>
        <w:t>主机卫士防护效果</w:t>
      </w:r>
      <w:bookmarkEnd w:id="35"/>
    </w:p>
    <w:p>
      <w:pPr>
        <w:spacing w:line="360" w:lineRule="auto"/>
        <w:ind w:firstLine="482"/>
        <w:rPr>
          <w:rFonts w:ascii="宋体" w:hAnsi="宋体"/>
          <w:sz w:val="24"/>
        </w:rPr>
      </w:pPr>
      <w:r>
        <w:rPr>
          <w:rFonts w:hint="eastAsia" w:ascii="宋体" w:hAnsi="宋体"/>
          <w:sz w:val="24"/>
        </w:rPr>
        <w:t>工业卫士是专门为工控主机提供的一款防护产品，实现对工控上位机与工控服务器全面的安全防护。</w:t>
      </w:r>
    </w:p>
    <w:p>
      <w:pPr>
        <w:spacing w:line="360" w:lineRule="auto"/>
        <w:ind w:firstLine="482"/>
        <w:rPr>
          <w:rFonts w:ascii="宋体" w:hAnsi="宋体"/>
          <w:sz w:val="24"/>
        </w:rPr>
      </w:pPr>
      <w:r>
        <w:rPr>
          <w:rFonts w:hint="eastAsia" w:ascii="宋体" w:hAnsi="宋体"/>
          <w:sz w:val="24"/>
        </w:rPr>
        <w:t>工业卫士能够监控工控主机的进程状态、网络端口状态、USB端口状态，以白名单的技术方式，全方位地保护主机的资源使用。根据白名单的配置，工业卫士会禁止非法进程的运行，禁止非法网络端口的打开与服务，禁止非法USB设备的接入，从而切断病毒和木马的传播与破坏路径。</w:t>
      </w:r>
    </w:p>
    <w:p>
      <w:pPr>
        <w:spacing w:line="360" w:lineRule="auto"/>
        <w:ind w:firstLine="482"/>
        <w:rPr>
          <w:rFonts w:ascii="宋体" w:hAnsi="宋体"/>
          <w:sz w:val="24"/>
        </w:rPr>
      </w:pPr>
      <w:r>
        <w:rPr>
          <w:rFonts w:hint="eastAsia" w:ascii="宋体" w:hAnsi="宋体"/>
          <w:sz w:val="24"/>
        </w:rPr>
        <w:t>工业卫士提供严格的USB存储设备管理</w:t>
      </w:r>
      <w:r>
        <w:rPr>
          <w:rFonts w:ascii="宋体" w:hAnsi="宋体"/>
          <w:sz w:val="24"/>
        </w:rPr>
        <w:t>，</w:t>
      </w:r>
      <w:r>
        <w:rPr>
          <w:rFonts w:hint="eastAsia" w:ascii="宋体" w:hAnsi="宋体"/>
          <w:sz w:val="24"/>
        </w:rPr>
        <w:t>U盘、USB硬盘等存储设备在接入工控主机使用前，必须先经过使用授权。未经授权的USB存储设备不能使用，经过授权的设备，也不能进行超越其权限的操作。通过授权管理，工业卫士能够有效防止文件泄密。同时，工业卫士还会审计USB存储设备的文件操作行为，为事后追责提供依据。</w:t>
      </w:r>
    </w:p>
    <w:p>
      <w:pPr>
        <w:numPr>
          <w:ilvl w:val="0"/>
          <w:numId w:val="7"/>
        </w:numPr>
        <w:spacing w:line="360" w:lineRule="auto"/>
        <w:rPr>
          <w:rFonts w:hAnsi="宋体"/>
          <w:snapToGrid w:val="0"/>
          <w:kern w:val="0"/>
          <w:sz w:val="24"/>
          <w:szCs w:val="21"/>
        </w:rPr>
      </w:pPr>
      <w:bookmarkStart w:id="36" w:name="_Toc17699744"/>
      <w:r>
        <w:rPr>
          <w:rFonts w:hint="eastAsia" w:hAnsi="宋体"/>
          <w:snapToGrid w:val="0"/>
          <w:kern w:val="0"/>
          <w:sz w:val="24"/>
          <w:szCs w:val="21"/>
        </w:rPr>
        <w:t>智能识别应用并生成白名单</w:t>
      </w:r>
      <w:bookmarkEnd w:id="36"/>
    </w:p>
    <w:p>
      <w:pPr>
        <w:spacing w:line="360" w:lineRule="auto"/>
        <w:ind w:firstLine="482"/>
        <w:rPr>
          <w:rFonts w:ascii="宋体" w:hAnsi="宋体"/>
          <w:sz w:val="24"/>
        </w:rPr>
      </w:pPr>
      <w:r>
        <w:rPr>
          <w:rFonts w:hint="eastAsia" w:ascii="宋体" w:hAnsi="宋体"/>
          <w:sz w:val="24"/>
        </w:rPr>
        <w:t>应用软件安装、升级智能识别。</w:t>
      </w:r>
    </w:p>
    <w:p>
      <w:pPr>
        <w:spacing w:line="360" w:lineRule="auto"/>
        <w:ind w:firstLine="482"/>
        <w:rPr>
          <w:rFonts w:ascii="宋体" w:hAnsi="宋体"/>
          <w:sz w:val="24"/>
        </w:rPr>
      </w:pPr>
      <w:r>
        <w:rPr>
          <w:rFonts w:hint="eastAsia" w:ascii="宋体" w:hAnsi="宋体"/>
          <w:sz w:val="24"/>
        </w:rPr>
        <w:t>应用程序签名、证书、特征值等多元素匹配。</w:t>
      </w:r>
    </w:p>
    <w:p>
      <w:pPr>
        <w:spacing w:line="360" w:lineRule="auto"/>
        <w:ind w:firstLine="482"/>
        <w:rPr>
          <w:rFonts w:ascii="宋体" w:hAnsi="宋体"/>
          <w:sz w:val="24"/>
        </w:rPr>
      </w:pPr>
      <w:r>
        <w:rPr>
          <w:rFonts w:hint="eastAsia" w:ascii="宋体" w:hAnsi="宋体"/>
          <w:sz w:val="24"/>
        </w:rPr>
        <w:t>生成自定义集合的安全基线。</w:t>
      </w:r>
    </w:p>
    <w:p>
      <w:pPr>
        <w:spacing w:line="360" w:lineRule="auto"/>
        <w:ind w:firstLine="482"/>
        <w:rPr>
          <w:rFonts w:ascii="宋体" w:hAnsi="宋体"/>
          <w:sz w:val="24"/>
        </w:rPr>
      </w:pPr>
      <w:r>
        <w:rPr>
          <w:rFonts w:hint="eastAsia" w:ascii="宋体" w:hAnsi="宋体"/>
          <w:sz w:val="24"/>
        </w:rPr>
        <w:t>工业卫士通过机器学习的模式，全盘扫描，智能分析主机程序、进程，对于可以进程放置到隔离沙箱，保护主机的安全。</w:t>
      </w:r>
    </w:p>
    <w:p>
      <w:pPr>
        <w:numPr>
          <w:ilvl w:val="0"/>
          <w:numId w:val="7"/>
        </w:numPr>
        <w:spacing w:line="360" w:lineRule="auto"/>
        <w:rPr>
          <w:rFonts w:hAnsi="宋体"/>
          <w:snapToGrid w:val="0"/>
          <w:kern w:val="0"/>
          <w:sz w:val="24"/>
          <w:szCs w:val="21"/>
        </w:rPr>
      </w:pPr>
      <w:bookmarkStart w:id="37" w:name="_Toc17699745"/>
      <w:r>
        <w:rPr>
          <w:rFonts w:hint="eastAsia" w:hAnsi="宋体"/>
          <w:snapToGrid w:val="0"/>
          <w:kern w:val="0"/>
          <w:sz w:val="24"/>
          <w:szCs w:val="21"/>
        </w:rPr>
        <w:t>独有的应用程序检查机制</w:t>
      </w:r>
      <w:bookmarkEnd w:id="37"/>
    </w:p>
    <w:p>
      <w:pPr>
        <w:spacing w:line="360" w:lineRule="auto"/>
        <w:ind w:firstLine="482"/>
        <w:rPr>
          <w:rFonts w:ascii="宋体" w:hAnsi="宋体"/>
          <w:sz w:val="24"/>
        </w:rPr>
      </w:pPr>
      <w:r>
        <w:rPr>
          <w:rFonts w:hint="eastAsia" w:ascii="宋体" w:hAnsi="宋体"/>
          <w:sz w:val="24"/>
        </w:rPr>
        <w:t>采取“暂停-检查-启动”三步过程，任何程序在启动前，都必须暂停下来接受检查，从而在恶意程序启动前即将其中止。</w:t>
      </w:r>
    </w:p>
    <w:p>
      <w:pPr>
        <w:numPr>
          <w:ilvl w:val="0"/>
          <w:numId w:val="7"/>
        </w:numPr>
        <w:spacing w:line="360" w:lineRule="auto"/>
        <w:rPr>
          <w:rFonts w:hAnsi="宋体"/>
          <w:snapToGrid w:val="0"/>
          <w:kern w:val="0"/>
          <w:sz w:val="24"/>
          <w:szCs w:val="21"/>
        </w:rPr>
      </w:pPr>
      <w:bookmarkStart w:id="38" w:name="_Toc17699746"/>
      <w:r>
        <w:rPr>
          <w:rFonts w:hint="eastAsia" w:hAnsi="宋体"/>
          <w:snapToGrid w:val="0"/>
          <w:kern w:val="0"/>
          <w:sz w:val="24"/>
          <w:szCs w:val="21"/>
        </w:rPr>
        <w:t>完善的外设安全控制</w:t>
      </w:r>
      <w:bookmarkEnd w:id="38"/>
    </w:p>
    <w:p>
      <w:pPr>
        <w:spacing w:line="360" w:lineRule="auto"/>
        <w:ind w:firstLine="482"/>
        <w:rPr>
          <w:rFonts w:ascii="宋体" w:hAnsi="宋体"/>
          <w:sz w:val="24"/>
        </w:rPr>
      </w:pPr>
      <w:r>
        <w:rPr>
          <w:rFonts w:hint="eastAsia" w:ascii="宋体" w:hAnsi="宋体"/>
          <w:sz w:val="24"/>
        </w:rPr>
        <w:t>限制未经授权的</w:t>
      </w:r>
      <w:r>
        <w:rPr>
          <w:rFonts w:ascii="宋体" w:hAnsi="宋体"/>
          <w:sz w:val="24"/>
        </w:rPr>
        <w:t>USB</w:t>
      </w:r>
      <w:r>
        <w:rPr>
          <w:rFonts w:hint="eastAsia" w:ascii="宋体" w:hAnsi="宋体"/>
          <w:sz w:val="24"/>
        </w:rPr>
        <w:t>外设在特定的主机上运行</w:t>
      </w:r>
    </w:p>
    <w:p>
      <w:pPr>
        <w:spacing w:line="360" w:lineRule="auto"/>
        <w:ind w:firstLine="482"/>
        <w:rPr>
          <w:rFonts w:ascii="宋体" w:hAnsi="宋体"/>
          <w:sz w:val="24"/>
        </w:rPr>
      </w:pPr>
      <w:r>
        <w:rPr>
          <w:rFonts w:hint="eastAsia" w:ascii="宋体" w:hAnsi="宋体"/>
          <w:sz w:val="24"/>
        </w:rPr>
        <w:t>完善的移动存储介质安全策略，可细分为允许读写、禁止等。</w:t>
      </w:r>
    </w:p>
    <w:p>
      <w:pPr>
        <w:numPr>
          <w:ilvl w:val="0"/>
          <w:numId w:val="7"/>
        </w:numPr>
        <w:spacing w:line="360" w:lineRule="auto"/>
        <w:rPr>
          <w:rFonts w:hAnsi="宋体"/>
          <w:snapToGrid w:val="0"/>
          <w:kern w:val="0"/>
          <w:sz w:val="24"/>
          <w:szCs w:val="21"/>
        </w:rPr>
      </w:pPr>
      <w:bookmarkStart w:id="39" w:name="_Toc17699747"/>
      <w:r>
        <w:rPr>
          <w:rFonts w:hint="eastAsia" w:hAnsi="宋体"/>
          <w:snapToGrid w:val="0"/>
          <w:kern w:val="0"/>
          <w:sz w:val="24"/>
          <w:szCs w:val="21"/>
        </w:rPr>
        <w:t>周全的工控网络攻击防护</w:t>
      </w:r>
      <w:bookmarkEnd w:id="39"/>
    </w:p>
    <w:p>
      <w:pPr>
        <w:spacing w:line="360" w:lineRule="auto"/>
        <w:ind w:firstLine="482"/>
        <w:rPr>
          <w:rFonts w:ascii="宋体" w:hAnsi="宋体"/>
          <w:sz w:val="24"/>
        </w:rPr>
      </w:pPr>
      <w:r>
        <w:rPr>
          <w:rFonts w:hint="eastAsia" w:ascii="宋体" w:hAnsi="宋体"/>
          <w:sz w:val="24"/>
        </w:rPr>
        <w:t>采用独有的工控网络防护方法，能有效阻止</w:t>
      </w:r>
      <w:r>
        <w:rPr>
          <w:rFonts w:ascii="宋体" w:hAnsi="宋体"/>
          <w:sz w:val="24"/>
        </w:rPr>
        <w:t>Havex</w:t>
      </w:r>
      <w:r>
        <w:rPr>
          <w:rFonts w:hint="eastAsia" w:ascii="宋体" w:hAnsi="宋体"/>
          <w:sz w:val="24"/>
        </w:rPr>
        <w:t>、沙虫等最新工控病毒、</w:t>
      </w:r>
      <w:r>
        <w:rPr>
          <w:rFonts w:ascii="宋体" w:hAnsi="宋体"/>
          <w:sz w:val="24"/>
        </w:rPr>
        <w:t>BadUSB</w:t>
      </w:r>
      <w:r>
        <w:rPr>
          <w:rFonts w:hint="eastAsia" w:ascii="宋体" w:hAnsi="宋体"/>
          <w:sz w:val="24"/>
        </w:rPr>
        <w:t>等最新针对工控网络的攻击方法。</w:t>
      </w:r>
    </w:p>
    <w:p>
      <w:pPr>
        <w:numPr>
          <w:ilvl w:val="0"/>
          <w:numId w:val="7"/>
        </w:numPr>
        <w:spacing w:line="360" w:lineRule="auto"/>
        <w:rPr>
          <w:rFonts w:hAnsi="宋体"/>
          <w:snapToGrid w:val="0"/>
          <w:kern w:val="0"/>
          <w:sz w:val="24"/>
          <w:szCs w:val="21"/>
        </w:rPr>
      </w:pPr>
      <w:bookmarkStart w:id="40" w:name="_Toc17699748"/>
      <w:r>
        <w:rPr>
          <w:rFonts w:hint="eastAsia" w:hAnsi="宋体"/>
          <w:snapToGrid w:val="0"/>
          <w:kern w:val="0"/>
          <w:sz w:val="24"/>
          <w:szCs w:val="21"/>
        </w:rPr>
        <w:t>通过完整性保护来实现本体安全性</w:t>
      </w:r>
      <w:bookmarkEnd w:id="40"/>
    </w:p>
    <w:p>
      <w:pPr>
        <w:spacing w:line="360" w:lineRule="auto"/>
        <w:ind w:firstLine="482"/>
        <w:rPr>
          <w:rFonts w:ascii="宋体" w:hAnsi="宋体"/>
          <w:sz w:val="24"/>
        </w:rPr>
      </w:pPr>
      <w:r>
        <w:rPr>
          <w:rFonts w:hint="eastAsia" w:ascii="宋体" w:hAnsi="宋体"/>
          <w:sz w:val="24"/>
        </w:rPr>
        <w:t>通过应用程序完整性保护和操作系统完整性保护来实现本体安全性。</w:t>
      </w:r>
    </w:p>
    <w:p>
      <w:pPr>
        <w:spacing w:line="360" w:lineRule="auto"/>
        <w:ind w:firstLine="482"/>
        <w:rPr>
          <w:rFonts w:ascii="宋体" w:hAnsi="宋体"/>
          <w:sz w:val="24"/>
        </w:rPr>
      </w:pPr>
      <w:r>
        <w:rPr>
          <w:rFonts w:hint="eastAsia" w:ascii="宋体" w:hAnsi="宋体"/>
          <w:sz w:val="24"/>
        </w:rPr>
        <w:t>有效保护计算环境和进程空间的运行安全。</w:t>
      </w:r>
    </w:p>
    <w:p>
      <w:pPr>
        <w:spacing w:line="360" w:lineRule="auto"/>
        <w:ind w:firstLine="482"/>
        <w:rPr>
          <w:rFonts w:ascii="宋体" w:hAnsi="宋体"/>
          <w:sz w:val="24"/>
        </w:rPr>
      </w:pPr>
      <w:r>
        <w:rPr>
          <w:rFonts w:hint="eastAsia" w:ascii="宋体" w:hAnsi="宋体"/>
          <w:sz w:val="24"/>
        </w:rPr>
        <w:t>有效防止计算环境被篡改和后门、缓冲区溢出等传统攻击方法。</w:t>
      </w:r>
    </w:p>
    <w:p>
      <w:pPr>
        <w:numPr>
          <w:ilvl w:val="0"/>
          <w:numId w:val="7"/>
        </w:numPr>
        <w:spacing w:line="360" w:lineRule="auto"/>
        <w:rPr>
          <w:rFonts w:hAnsi="宋体"/>
          <w:snapToGrid w:val="0"/>
          <w:kern w:val="0"/>
          <w:sz w:val="24"/>
          <w:szCs w:val="21"/>
        </w:rPr>
      </w:pPr>
      <w:bookmarkStart w:id="41" w:name="_Toc17699749"/>
      <w:r>
        <w:rPr>
          <w:rFonts w:hint="eastAsia" w:hAnsi="宋体"/>
          <w:snapToGrid w:val="0"/>
          <w:kern w:val="0"/>
          <w:sz w:val="24"/>
          <w:szCs w:val="21"/>
        </w:rPr>
        <w:t>专门针对工控上位机和服务器的操作系统防护技术</w:t>
      </w:r>
      <w:bookmarkEnd w:id="41"/>
    </w:p>
    <w:p>
      <w:pPr>
        <w:spacing w:line="360" w:lineRule="auto"/>
        <w:ind w:firstLine="482"/>
        <w:rPr>
          <w:rFonts w:ascii="宋体" w:hAnsi="宋体"/>
          <w:sz w:val="24"/>
        </w:rPr>
      </w:pPr>
      <w:r>
        <w:rPr>
          <w:rFonts w:hint="eastAsia" w:ascii="宋体" w:hAnsi="宋体"/>
          <w:sz w:val="24"/>
        </w:rPr>
        <w:t>在不影响正常业务的运行下，采用白名单策略来实现对进程、外设、网络的防护，实现可持续的行为安全性。</w:t>
      </w:r>
    </w:p>
    <w:p>
      <w:pPr>
        <w:pStyle w:val="3"/>
      </w:pPr>
      <w:bookmarkStart w:id="42" w:name="_Toc150282033"/>
      <w:r>
        <w:rPr>
          <w:rFonts w:hint="eastAsia"/>
        </w:rPr>
        <w:t>移动终端安全防护效果</w:t>
      </w:r>
      <w:bookmarkEnd w:id="42"/>
    </w:p>
    <w:p>
      <w:pPr>
        <w:spacing w:line="360" w:lineRule="auto"/>
        <w:ind w:firstLine="482"/>
        <w:rPr>
          <w:rFonts w:ascii="宋体" w:hAnsi="宋体"/>
          <w:sz w:val="24"/>
        </w:rPr>
      </w:pPr>
      <w:r>
        <w:rPr>
          <w:rFonts w:hint="eastAsia" w:ascii="宋体" w:hAnsi="宋体"/>
          <w:sz w:val="24"/>
        </w:rPr>
        <w:t>移动终端安全管理系统主要针对移动终端设备，如PDA等手持设备，对终端违规外联控制（外设端口管理控制及连接外网控制），功能支持以下：</w:t>
      </w:r>
    </w:p>
    <w:p>
      <w:pPr>
        <w:spacing w:line="360" w:lineRule="auto"/>
        <w:ind w:firstLine="482"/>
        <w:rPr>
          <w:rFonts w:ascii="宋体" w:hAnsi="宋体"/>
          <w:sz w:val="24"/>
        </w:rPr>
      </w:pPr>
      <w:r>
        <w:rPr>
          <w:rFonts w:hint="eastAsia" w:ascii="宋体" w:hAnsi="宋体"/>
          <w:sz w:val="24"/>
        </w:rPr>
        <w:t>1. 端口管理控制: 拨号上网、USB大容量存储设备、无线网卡、WiFi热点、红外/蓝牙、双网卡、串/并/1394/PCMCIA口；</w:t>
      </w:r>
    </w:p>
    <w:p>
      <w:pPr>
        <w:spacing w:line="360" w:lineRule="auto"/>
        <w:ind w:firstLine="482"/>
        <w:rPr>
          <w:rFonts w:ascii="宋体" w:hAnsi="宋体"/>
          <w:sz w:val="24"/>
        </w:rPr>
      </w:pPr>
      <w:r>
        <w:rPr>
          <w:rFonts w:hint="eastAsia" w:ascii="宋体" w:hAnsi="宋体"/>
          <w:sz w:val="24"/>
        </w:rPr>
        <w:t>2. 用户自定义的设备类型；</w:t>
      </w:r>
    </w:p>
    <w:p>
      <w:pPr>
        <w:spacing w:line="360" w:lineRule="auto"/>
        <w:ind w:firstLine="482"/>
        <w:rPr>
          <w:rFonts w:ascii="宋体" w:hAnsi="宋体"/>
          <w:sz w:val="24"/>
        </w:rPr>
      </w:pPr>
      <w:r>
        <w:rPr>
          <w:rFonts w:hint="eastAsia" w:ascii="宋体" w:hAnsi="宋体"/>
          <w:sz w:val="24"/>
        </w:rPr>
        <w:t>3. 禁止光驱刻录；</w:t>
      </w:r>
    </w:p>
    <w:p>
      <w:pPr>
        <w:spacing w:line="360" w:lineRule="auto"/>
        <w:ind w:firstLine="482"/>
        <w:rPr>
          <w:rFonts w:ascii="宋体" w:hAnsi="宋体"/>
          <w:sz w:val="24"/>
        </w:rPr>
      </w:pPr>
      <w:r>
        <w:rPr>
          <w:rFonts w:ascii="宋体" w:hAnsi="宋体"/>
          <w:sz w:val="24"/>
        </w:rPr>
        <w:t>4</w:t>
      </w:r>
      <w:r>
        <w:rPr>
          <w:rFonts w:hint="eastAsia" w:ascii="宋体" w:hAnsi="宋体"/>
          <w:sz w:val="24"/>
        </w:rPr>
        <w:t>、网络连接审计与控制功能。</w:t>
      </w:r>
      <w:bookmarkStart w:id="43" w:name="_Toc114674592"/>
    </w:p>
    <w:bookmarkEnd w:id="43"/>
    <w:p>
      <w:pPr>
        <w:spacing w:before="120" w:after="120"/>
        <w:rPr>
          <w:sz w:val="24"/>
        </w:rPr>
      </w:pPr>
    </w:p>
    <w:p>
      <w:pPr>
        <w:pStyle w:val="2"/>
        <w:numPr>
          <w:ilvl w:val="0"/>
          <w:numId w:val="0"/>
        </w:numPr>
        <w:ind w:leftChars="0"/>
      </w:pPr>
      <w:bookmarkStart w:id="44" w:name="_Toc150282034"/>
      <w:r>
        <w:rPr>
          <w:rFonts w:hint="eastAsia"/>
          <w:lang w:val="en-US" w:eastAsia="zh-CN"/>
        </w:rPr>
        <w:t>2.3</w:t>
      </w:r>
      <w:r>
        <w:rPr>
          <w:rFonts w:hint="eastAsia"/>
        </w:rPr>
        <w:t>设备清单</w:t>
      </w:r>
      <w:bookmarkEnd w:id="44"/>
    </w:p>
    <w:tbl>
      <w:tblPr>
        <w:tblStyle w:val="8"/>
        <w:tblW w:w="803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72"/>
        <w:gridCol w:w="2291"/>
        <w:gridCol w:w="968"/>
        <w:gridCol w:w="1275"/>
        <w:gridCol w:w="212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3" w:hRule="atLeast"/>
          <w:jc w:val="center"/>
        </w:trPr>
        <w:tc>
          <w:tcPr>
            <w:tcW w:w="1372" w:type="dxa"/>
            <w:shd w:val="clear" w:color="auto" w:fill="auto"/>
            <w:vAlign w:val="center"/>
          </w:tcPr>
          <w:p>
            <w:pPr>
              <w:keepNext w:val="0"/>
              <w:keepLines w:val="0"/>
              <w:suppressLineNumbers w:val="0"/>
              <w:spacing w:before="0" w:beforeAutospacing="0" w:after="0" w:afterAutospacing="0"/>
              <w:ind w:left="0" w:right="0"/>
              <w:jc w:val="center"/>
              <w:rPr>
                <w:rFonts w:hint="default" w:hAnsi="宋体" w:cs="宋体"/>
                <w:color w:val="000000"/>
                <w:kern w:val="0"/>
                <w:szCs w:val="21"/>
              </w:rPr>
            </w:pPr>
            <w:r>
              <w:rPr>
                <w:rFonts w:hint="eastAsia" w:hAnsi="宋体" w:cs="宋体"/>
                <w:color w:val="000000"/>
                <w:kern w:val="0"/>
                <w:szCs w:val="21"/>
              </w:rPr>
              <w:t>序号</w:t>
            </w:r>
          </w:p>
        </w:tc>
        <w:tc>
          <w:tcPr>
            <w:tcW w:w="2291" w:type="dxa"/>
            <w:shd w:val="clear" w:color="auto" w:fill="auto"/>
            <w:vAlign w:val="center"/>
          </w:tcPr>
          <w:p>
            <w:pPr>
              <w:keepNext w:val="0"/>
              <w:keepLines w:val="0"/>
              <w:suppressLineNumbers w:val="0"/>
              <w:spacing w:before="0" w:beforeAutospacing="0" w:after="0" w:afterAutospacing="0"/>
              <w:ind w:left="0" w:right="0"/>
              <w:jc w:val="center"/>
              <w:rPr>
                <w:rFonts w:hint="default" w:hAnsi="宋体" w:cs="宋体"/>
                <w:color w:val="000000"/>
                <w:kern w:val="0"/>
                <w:szCs w:val="21"/>
              </w:rPr>
            </w:pPr>
            <w:r>
              <w:rPr>
                <w:rFonts w:hint="eastAsia" w:hAnsi="宋体" w:cs="宋体"/>
                <w:color w:val="000000"/>
                <w:kern w:val="0"/>
                <w:szCs w:val="21"/>
              </w:rPr>
              <w:t>名称</w:t>
            </w:r>
          </w:p>
        </w:tc>
        <w:tc>
          <w:tcPr>
            <w:tcW w:w="968" w:type="dxa"/>
            <w:shd w:val="clear" w:color="auto" w:fill="auto"/>
            <w:vAlign w:val="center"/>
          </w:tcPr>
          <w:p>
            <w:pPr>
              <w:keepNext w:val="0"/>
              <w:keepLines w:val="0"/>
              <w:suppressLineNumbers w:val="0"/>
              <w:spacing w:before="0" w:beforeAutospacing="0" w:after="0" w:afterAutospacing="0"/>
              <w:ind w:left="0" w:right="0"/>
              <w:jc w:val="center"/>
              <w:rPr>
                <w:rFonts w:hint="default" w:hAnsi="宋体" w:cs="宋体"/>
                <w:color w:val="000000"/>
                <w:kern w:val="0"/>
                <w:szCs w:val="21"/>
              </w:rPr>
            </w:pPr>
            <w:r>
              <w:rPr>
                <w:rFonts w:hint="eastAsia" w:hAnsi="宋体" w:cs="宋体"/>
                <w:color w:val="000000"/>
                <w:kern w:val="0"/>
                <w:szCs w:val="21"/>
              </w:rPr>
              <w:t>数量</w:t>
            </w:r>
          </w:p>
        </w:tc>
        <w:tc>
          <w:tcPr>
            <w:tcW w:w="1275" w:type="dxa"/>
            <w:shd w:val="clear" w:color="auto" w:fill="auto"/>
            <w:vAlign w:val="center"/>
          </w:tcPr>
          <w:p>
            <w:pPr>
              <w:keepNext w:val="0"/>
              <w:keepLines w:val="0"/>
              <w:suppressLineNumbers w:val="0"/>
              <w:spacing w:before="0" w:beforeAutospacing="0" w:after="0" w:afterAutospacing="0"/>
              <w:ind w:left="0" w:right="0"/>
              <w:jc w:val="center"/>
              <w:rPr>
                <w:rFonts w:hint="default" w:hAnsi="宋体" w:cs="宋体"/>
                <w:color w:val="000000"/>
                <w:kern w:val="0"/>
                <w:szCs w:val="21"/>
              </w:rPr>
            </w:pPr>
            <w:r>
              <w:rPr>
                <w:rFonts w:hint="eastAsia" w:hAnsi="宋体" w:cs="宋体"/>
                <w:color w:val="000000"/>
                <w:kern w:val="0"/>
                <w:szCs w:val="21"/>
              </w:rPr>
              <w:t>单位</w:t>
            </w:r>
          </w:p>
        </w:tc>
        <w:tc>
          <w:tcPr>
            <w:tcW w:w="2127" w:type="dxa"/>
            <w:vAlign w:val="center"/>
          </w:tcPr>
          <w:p>
            <w:pPr>
              <w:keepNext w:val="0"/>
              <w:keepLines w:val="0"/>
              <w:suppressLineNumbers w:val="0"/>
              <w:spacing w:before="0" w:beforeAutospacing="0" w:after="0" w:afterAutospacing="0"/>
              <w:ind w:left="0" w:right="0"/>
              <w:jc w:val="center"/>
              <w:rPr>
                <w:rFonts w:hint="default" w:hAnsi="宋体" w:cs="宋体"/>
                <w:color w:val="000000"/>
                <w:kern w:val="0"/>
                <w:szCs w:val="21"/>
              </w:rPr>
            </w:pPr>
            <w:r>
              <w:rPr>
                <w:rFonts w:hint="eastAsia" w:hAnsi="宋体" w:cs="宋体"/>
                <w:color w:val="000000"/>
                <w:kern w:val="0"/>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1372" w:type="dxa"/>
            <w:shd w:val="clear" w:color="auto" w:fill="auto"/>
            <w:vAlign w:val="center"/>
          </w:tcPr>
          <w:p>
            <w:pPr>
              <w:keepNext w:val="0"/>
              <w:keepLines w:val="0"/>
              <w:suppressLineNumbers w:val="0"/>
              <w:spacing w:before="0" w:beforeAutospacing="0" w:after="0" w:afterAutospacing="0"/>
              <w:ind w:left="0" w:right="0" w:firstLine="174" w:firstLineChars="83"/>
              <w:jc w:val="center"/>
              <w:rPr>
                <w:rFonts w:hint="default" w:hAnsi="宋体" w:cs="宋体"/>
                <w:color w:val="000000"/>
                <w:kern w:val="0"/>
                <w:szCs w:val="21"/>
              </w:rPr>
            </w:pPr>
            <w:r>
              <w:rPr>
                <w:rFonts w:hint="eastAsia" w:hAnsi="宋体" w:cs="宋体"/>
                <w:color w:val="000000"/>
                <w:kern w:val="0"/>
                <w:szCs w:val="21"/>
              </w:rPr>
              <w:t>1</w:t>
            </w:r>
          </w:p>
        </w:tc>
        <w:tc>
          <w:tcPr>
            <w:tcW w:w="2291" w:type="dxa"/>
            <w:shd w:val="clear" w:color="auto" w:fill="auto"/>
            <w:vAlign w:val="center"/>
          </w:tcPr>
          <w:p>
            <w:pPr>
              <w:keepNext w:val="0"/>
              <w:keepLines w:val="0"/>
              <w:suppressLineNumbers w:val="0"/>
              <w:spacing w:before="0" w:beforeAutospacing="0" w:after="0" w:afterAutospacing="0"/>
              <w:ind w:left="0" w:right="0"/>
              <w:jc w:val="center"/>
              <w:rPr>
                <w:rFonts w:hint="default" w:hAnsi="宋体" w:cs="宋体"/>
                <w:color w:val="000000"/>
                <w:kern w:val="0"/>
                <w:szCs w:val="21"/>
              </w:rPr>
            </w:pPr>
            <w:r>
              <w:rPr>
                <w:rFonts w:hint="eastAsia" w:hAnsi="宋体" w:cs="宋体"/>
                <w:color w:val="000000"/>
                <w:kern w:val="0"/>
                <w:szCs w:val="21"/>
              </w:rPr>
              <w:t>第二代防火墙</w:t>
            </w:r>
          </w:p>
        </w:tc>
        <w:tc>
          <w:tcPr>
            <w:tcW w:w="968" w:type="dxa"/>
            <w:shd w:val="clear" w:color="auto" w:fill="auto"/>
            <w:vAlign w:val="center"/>
          </w:tcPr>
          <w:p>
            <w:pPr>
              <w:keepNext w:val="0"/>
              <w:keepLines w:val="0"/>
              <w:suppressLineNumbers w:val="0"/>
              <w:spacing w:before="0" w:beforeAutospacing="0" w:after="0" w:afterAutospacing="0"/>
              <w:ind w:left="0" w:right="0"/>
              <w:jc w:val="center"/>
              <w:rPr>
                <w:rFonts w:hint="default" w:hAnsi="宋体" w:cs="宋体"/>
                <w:color w:val="000000"/>
                <w:kern w:val="0"/>
                <w:szCs w:val="21"/>
              </w:rPr>
            </w:pPr>
            <w:r>
              <w:rPr>
                <w:rFonts w:hint="default" w:hAnsi="宋体" w:cs="宋体"/>
                <w:color w:val="000000"/>
                <w:kern w:val="0"/>
                <w:szCs w:val="21"/>
              </w:rPr>
              <w:t>2</w:t>
            </w:r>
          </w:p>
        </w:tc>
        <w:tc>
          <w:tcPr>
            <w:tcW w:w="1275" w:type="dxa"/>
            <w:shd w:val="clear" w:color="auto" w:fill="auto"/>
            <w:vAlign w:val="center"/>
          </w:tcPr>
          <w:p>
            <w:pPr>
              <w:keepNext w:val="0"/>
              <w:keepLines w:val="0"/>
              <w:suppressLineNumbers w:val="0"/>
              <w:spacing w:before="0" w:beforeAutospacing="0" w:after="0" w:afterAutospacing="0"/>
              <w:ind w:left="0" w:right="0"/>
              <w:jc w:val="center"/>
              <w:rPr>
                <w:rFonts w:hint="default" w:hAnsi="宋体" w:cs="宋体"/>
                <w:color w:val="000000"/>
                <w:kern w:val="0"/>
                <w:szCs w:val="21"/>
              </w:rPr>
            </w:pPr>
            <w:r>
              <w:rPr>
                <w:rFonts w:hint="eastAsia" w:hAnsi="宋体" w:cs="宋体"/>
                <w:color w:val="000000"/>
                <w:kern w:val="0"/>
                <w:szCs w:val="21"/>
              </w:rPr>
              <w:t>台</w:t>
            </w:r>
          </w:p>
        </w:tc>
        <w:tc>
          <w:tcPr>
            <w:tcW w:w="2127" w:type="dxa"/>
            <w:vAlign w:val="center"/>
          </w:tcPr>
          <w:p>
            <w:pPr>
              <w:keepNext w:val="0"/>
              <w:keepLines w:val="0"/>
              <w:suppressLineNumbers w:val="0"/>
              <w:spacing w:before="0" w:beforeAutospacing="0" w:after="0" w:afterAutospacing="0"/>
              <w:ind w:left="0" w:right="0"/>
              <w:jc w:val="center"/>
              <w:rPr>
                <w:rFonts w:hint="default"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6" w:hRule="atLeast"/>
          <w:jc w:val="center"/>
        </w:trPr>
        <w:tc>
          <w:tcPr>
            <w:tcW w:w="1372" w:type="dxa"/>
            <w:shd w:val="clear" w:color="auto" w:fill="auto"/>
            <w:vAlign w:val="center"/>
          </w:tcPr>
          <w:p>
            <w:pPr>
              <w:keepNext w:val="0"/>
              <w:keepLines w:val="0"/>
              <w:suppressLineNumbers w:val="0"/>
              <w:spacing w:before="0" w:beforeAutospacing="0" w:after="0" w:afterAutospacing="0"/>
              <w:ind w:left="0" w:right="0" w:firstLine="174" w:firstLineChars="83"/>
              <w:jc w:val="center"/>
              <w:rPr>
                <w:rFonts w:hint="default" w:hAnsi="宋体" w:cs="宋体"/>
                <w:color w:val="000000"/>
                <w:kern w:val="0"/>
                <w:szCs w:val="21"/>
              </w:rPr>
            </w:pPr>
            <w:r>
              <w:rPr>
                <w:rFonts w:hint="eastAsia" w:hAnsi="宋体" w:cs="宋体"/>
                <w:color w:val="000000"/>
                <w:kern w:val="0"/>
                <w:szCs w:val="21"/>
              </w:rPr>
              <w:t>2</w:t>
            </w:r>
          </w:p>
        </w:tc>
        <w:tc>
          <w:tcPr>
            <w:tcW w:w="2291" w:type="dxa"/>
            <w:shd w:val="clear" w:color="auto" w:fill="auto"/>
            <w:vAlign w:val="center"/>
          </w:tcPr>
          <w:p>
            <w:pPr>
              <w:keepNext w:val="0"/>
              <w:keepLines w:val="0"/>
              <w:suppressLineNumbers w:val="0"/>
              <w:spacing w:before="0" w:beforeAutospacing="0" w:after="0" w:afterAutospacing="0"/>
              <w:ind w:left="0" w:right="0"/>
              <w:jc w:val="center"/>
              <w:rPr>
                <w:rFonts w:hint="default" w:hAnsi="宋体" w:cs="宋体"/>
                <w:color w:val="000000"/>
                <w:kern w:val="0"/>
                <w:szCs w:val="21"/>
              </w:rPr>
            </w:pPr>
            <w:r>
              <w:rPr>
                <w:rFonts w:hint="eastAsia" w:hAnsi="宋体" w:cs="宋体"/>
                <w:color w:val="000000"/>
                <w:kern w:val="0"/>
                <w:szCs w:val="21"/>
              </w:rPr>
              <w:t>高级威胁检测</w:t>
            </w:r>
          </w:p>
        </w:tc>
        <w:tc>
          <w:tcPr>
            <w:tcW w:w="968" w:type="dxa"/>
            <w:shd w:val="clear" w:color="auto" w:fill="auto"/>
            <w:vAlign w:val="center"/>
          </w:tcPr>
          <w:p>
            <w:pPr>
              <w:keepNext w:val="0"/>
              <w:keepLines w:val="0"/>
              <w:suppressLineNumbers w:val="0"/>
              <w:spacing w:before="0" w:beforeAutospacing="0" w:after="0" w:afterAutospacing="0"/>
              <w:ind w:left="0" w:right="0"/>
              <w:jc w:val="center"/>
              <w:rPr>
                <w:rFonts w:hint="default" w:hAnsi="宋体" w:cs="宋体"/>
                <w:color w:val="000000"/>
                <w:kern w:val="0"/>
                <w:szCs w:val="21"/>
              </w:rPr>
            </w:pPr>
            <w:r>
              <w:rPr>
                <w:rFonts w:hint="eastAsia" w:hAnsi="宋体" w:cs="宋体"/>
                <w:color w:val="000000"/>
                <w:kern w:val="0"/>
                <w:szCs w:val="21"/>
              </w:rPr>
              <w:t>1</w:t>
            </w:r>
          </w:p>
        </w:tc>
        <w:tc>
          <w:tcPr>
            <w:tcW w:w="1275" w:type="dxa"/>
            <w:shd w:val="clear" w:color="auto" w:fill="auto"/>
            <w:vAlign w:val="center"/>
          </w:tcPr>
          <w:p>
            <w:pPr>
              <w:keepNext w:val="0"/>
              <w:keepLines w:val="0"/>
              <w:suppressLineNumbers w:val="0"/>
              <w:spacing w:before="0" w:beforeAutospacing="0" w:after="0" w:afterAutospacing="0"/>
              <w:ind w:left="0" w:right="0"/>
              <w:jc w:val="center"/>
              <w:rPr>
                <w:rFonts w:hint="default" w:hAnsi="宋体" w:cs="宋体"/>
                <w:color w:val="000000"/>
                <w:kern w:val="0"/>
                <w:szCs w:val="21"/>
              </w:rPr>
            </w:pPr>
            <w:r>
              <w:rPr>
                <w:rFonts w:hint="eastAsia" w:hAnsi="宋体" w:cs="宋体"/>
                <w:color w:val="000000"/>
                <w:kern w:val="0"/>
                <w:szCs w:val="21"/>
              </w:rPr>
              <w:t>台</w:t>
            </w:r>
          </w:p>
        </w:tc>
        <w:tc>
          <w:tcPr>
            <w:tcW w:w="2127" w:type="dxa"/>
            <w:vAlign w:val="center"/>
          </w:tcPr>
          <w:p>
            <w:pPr>
              <w:keepNext w:val="0"/>
              <w:keepLines w:val="0"/>
              <w:suppressLineNumbers w:val="0"/>
              <w:spacing w:before="0" w:beforeAutospacing="0" w:after="0" w:afterAutospacing="0"/>
              <w:ind w:left="0" w:right="0"/>
              <w:jc w:val="center"/>
              <w:rPr>
                <w:rFonts w:hint="default"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1372" w:type="dxa"/>
            <w:shd w:val="clear" w:color="auto" w:fill="auto"/>
            <w:vAlign w:val="center"/>
          </w:tcPr>
          <w:p>
            <w:pPr>
              <w:keepNext w:val="0"/>
              <w:keepLines w:val="0"/>
              <w:suppressLineNumbers w:val="0"/>
              <w:spacing w:before="0" w:beforeAutospacing="0" w:after="0" w:afterAutospacing="0"/>
              <w:ind w:left="0" w:right="0" w:firstLine="174" w:firstLineChars="83"/>
              <w:jc w:val="center"/>
              <w:rPr>
                <w:rFonts w:hint="default" w:hAnsi="宋体" w:cs="宋体"/>
                <w:color w:val="000000"/>
                <w:kern w:val="0"/>
                <w:szCs w:val="21"/>
              </w:rPr>
            </w:pPr>
            <w:r>
              <w:rPr>
                <w:rFonts w:hint="eastAsia" w:hAnsi="宋体" w:cs="宋体"/>
                <w:color w:val="000000"/>
                <w:kern w:val="0"/>
                <w:szCs w:val="21"/>
              </w:rPr>
              <w:t>3</w:t>
            </w:r>
          </w:p>
        </w:tc>
        <w:tc>
          <w:tcPr>
            <w:tcW w:w="2291" w:type="dxa"/>
            <w:shd w:val="clear" w:color="auto" w:fill="auto"/>
            <w:vAlign w:val="center"/>
          </w:tcPr>
          <w:p>
            <w:pPr>
              <w:keepNext w:val="0"/>
              <w:keepLines w:val="0"/>
              <w:suppressLineNumbers w:val="0"/>
              <w:spacing w:before="0" w:beforeAutospacing="0" w:after="0" w:afterAutospacing="0"/>
              <w:ind w:left="0" w:right="0"/>
              <w:jc w:val="center"/>
              <w:rPr>
                <w:rFonts w:hint="default" w:hAnsi="宋体" w:cs="宋体"/>
                <w:color w:val="000000"/>
                <w:kern w:val="0"/>
                <w:szCs w:val="21"/>
              </w:rPr>
            </w:pPr>
            <w:r>
              <w:rPr>
                <w:rFonts w:hint="eastAsia" w:hAnsi="宋体" w:cs="宋体"/>
                <w:color w:val="000000"/>
                <w:kern w:val="0"/>
                <w:szCs w:val="21"/>
              </w:rPr>
              <w:t>安全管理平台系统</w:t>
            </w:r>
          </w:p>
        </w:tc>
        <w:tc>
          <w:tcPr>
            <w:tcW w:w="968" w:type="dxa"/>
            <w:shd w:val="clear" w:color="auto" w:fill="auto"/>
            <w:vAlign w:val="center"/>
          </w:tcPr>
          <w:p>
            <w:pPr>
              <w:keepNext w:val="0"/>
              <w:keepLines w:val="0"/>
              <w:suppressLineNumbers w:val="0"/>
              <w:spacing w:before="0" w:beforeAutospacing="0" w:after="0" w:afterAutospacing="0"/>
              <w:ind w:left="0" w:right="0"/>
              <w:jc w:val="center"/>
              <w:rPr>
                <w:rFonts w:hint="default" w:hAnsi="宋体" w:cs="宋体"/>
                <w:color w:val="000000"/>
                <w:kern w:val="0"/>
                <w:szCs w:val="21"/>
              </w:rPr>
            </w:pPr>
            <w:r>
              <w:rPr>
                <w:rFonts w:hint="eastAsia" w:hAnsi="宋体" w:cs="宋体"/>
                <w:color w:val="000000"/>
                <w:kern w:val="0"/>
                <w:szCs w:val="21"/>
              </w:rPr>
              <w:t>1</w:t>
            </w:r>
          </w:p>
        </w:tc>
        <w:tc>
          <w:tcPr>
            <w:tcW w:w="1275" w:type="dxa"/>
            <w:shd w:val="clear" w:color="auto" w:fill="auto"/>
            <w:vAlign w:val="center"/>
          </w:tcPr>
          <w:p>
            <w:pPr>
              <w:keepNext w:val="0"/>
              <w:keepLines w:val="0"/>
              <w:suppressLineNumbers w:val="0"/>
              <w:spacing w:before="0" w:beforeAutospacing="0" w:after="0" w:afterAutospacing="0"/>
              <w:ind w:left="0" w:right="0"/>
              <w:jc w:val="center"/>
              <w:rPr>
                <w:rFonts w:hint="default" w:hAnsi="宋体" w:cs="宋体"/>
                <w:color w:val="000000"/>
                <w:kern w:val="0"/>
                <w:szCs w:val="21"/>
              </w:rPr>
            </w:pPr>
            <w:r>
              <w:rPr>
                <w:rFonts w:hint="eastAsia" w:hAnsi="宋体" w:cs="宋体"/>
                <w:color w:val="000000"/>
                <w:kern w:val="0"/>
                <w:szCs w:val="21"/>
              </w:rPr>
              <w:t>台</w:t>
            </w:r>
          </w:p>
        </w:tc>
        <w:tc>
          <w:tcPr>
            <w:tcW w:w="2127" w:type="dxa"/>
            <w:vAlign w:val="center"/>
          </w:tcPr>
          <w:p>
            <w:pPr>
              <w:keepNext w:val="0"/>
              <w:keepLines w:val="0"/>
              <w:suppressLineNumbers w:val="0"/>
              <w:spacing w:before="0" w:beforeAutospacing="0" w:after="0" w:afterAutospacing="0"/>
              <w:ind w:left="0" w:right="0"/>
              <w:jc w:val="center"/>
              <w:rPr>
                <w:rFonts w:hint="default" w:hAnsi="宋体" w:cs="宋体"/>
                <w:color w:val="000000"/>
                <w:kern w:val="0"/>
                <w:szCs w:val="21"/>
              </w:rPr>
            </w:pPr>
            <w:r>
              <w:rPr>
                <w:rFonts w:hint="eastAsia" w:hAnsi="宋体" w:cs="宋体"/>
                <w:color w:val="000000"/>
                <w:kern w:val="0"/>
                <w:szCs w:val="21"/>
              </w:rPr>
              <w:t>日志收集、主机卫士控制台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1372" w:type="dxa"/>
            <w:shd w:val="clear" w:color="auto" w:fill="auto"/>
            <w:vAlign w:val="center"/>
          </w:tcPr>
          <w:p>
            <w:pPr>
              <w:keepNext w:val="0"/>
              <w:keepLines w:val="0"/>
              <w:suppressLineNumbers w:val="0"/>
              <w:spacing w:before="0" w:beforeAutospacing="0" w:after="0" w:afterAutospacing="0"/>
              <w:ind w:left="0" w:right="0" w:firstLine="174" w:firstLineChars="83"/>
              <w:jc w:val="center"/>
              <w:rPr>
                <w:rFonts w:hint="default" w:hAnsi="宋体" w:cs="宋体"/>
                <w:color w:val="000000"/>
                <w:kern w:val="0"/>
                <w:szCs w:val="21"/>
              </w:rPr>
            </w:pPr>
            <w:r>
              <w:rPr>
                <w:rFonts w:hint="eastAsia" w:hAnsi="宋体" w:cs="宋体"/>
                <w:color w:val="000000"/>
                <w:kern w:val="0"/>
                <w:szCs w:val="21"/>
              </w:rPr>
              <w:t>4</w:t>
            </w:r>
          </w:p>
        </w:tc>
        <w:tc>
          <w:tcPr>
            <w:tcW w:w="2291" w:type="dxa"/>
            <w:shd w:val="clear" w:color="auto" w:fill="auto"/>
            <w:vAlign w:val="center"/>
          </w:tcPr>
          <w:p>
            <w:pPr>
              <w:keepNext w:val="0"/>
              <w:keepLines w:val="0"/>
              <w:suppressLineNumbers w:val="0"/>
              <w:spacing w:before="0" w:beforeAutospacing="0" w:after="0" w:afterAutospacing="0"/>
              <w:ind w:left="0" w:right="0"/>
              <w:jc w:val="center"/>
              <w:rPr>
                <w:rFonts w:hint="default" w:hAnsi="宋体" w:cs="宋体"/>
                <w:color w:val="000000"/>
                <w:kern w:val="0"/>
                <w:szCs w:val="21"/>
              </w:rPr>
            </w:pPr>
            <w:r>
              <w:rPr>
                <w:rFonts w:hint="eastAsia" w:hAnsi="宋体" w:cs="宋体"/>
                <w:color w:val="000000"/>
                <w:kern w:val="0"/>
                <w:szCs w:val="21"/>
              </w:rPr>
              <w:t>移动终端安全管理</w:t>
            </w:r>
          </w:p>
        </w:tc>
        <w:tc>
          <w:tcPr>
            <w:tcW w:w="968" w:type="dxa"/>
            <w:shd w:val="clear" w:color="auto" w:fill="auto"/>
            <w:vAlign w:val="center"/>
          </w:tcPr>
          <w:p>
            <w:pPr>
              <w:keepNext w:val="0"/>
              <w:keepLines w:val="0"/>
              <w:suppressLineNumbers w:val="0"/>
              <w:spacing w:before="0" w:beforeAutospacing="0" w:after="0" w:afterAutospacing="0"/>
              <w:ind w:left="0" w:right="0"/>
              <w:jc w:val="center"/>
              <w:rPr>
                <w:rFonts w:hint="default" w:hAnsi="宋体" w:cs="宋体"/>
                <w:color w:val="000000"/>
                <w:kern w:val="0"/>
                <w:szCs w:val="21"/>
              </w:rPr>
            </w:pPr>
            <w:r>
              <w:rPr>
                <w:rFonts w:hint="eastAsia" w:hAnsi="宋体" w:cs="宋体"/>
                <w:color w:val="000000"/>
                <w:kern w:val="0"/>
                <w:szCs w:val="21"/>
              </w:rPr>
              <w:t>若干</w:t>
            </w:r>
          </w:p>
        </w:tc>
        <w:tc>
          <w:tcPr>
            <w:tcW w:w="1275" w:type="dxa"/>
            <w:shd w:val="clear" w:color="auto" w:fill="auto"/>
            <w:vAlign w:val="center"/>
          </w:tcPr>
          <w:p>
            <w:pPr>
              <w:keepNext w:val="0"/>
              <w:keepLines w:val="0"/>
              <w:suppressLineNumbers w:val="0"/>
              <w:spacing w:before="0" w:beforeAutospacing="0" w:after="0" w:afterAutospacing="0"/>
              <w:ind w:left="0" w:right="0"/>
              <w:jc w:val="center"/>
              <w:rPr>
                <w:rFonts w:hint="default" w:hAnsi="宋体" w:cs="宋体"/>
                <w:color w:val="000000"/>
                <w:kern w:val="0"/>
                <w:szCs w:val="21"/>
              </w:rPr>
            </w:pPr>
            <w:r>
              <w:rPr>
                <w:rFonts w:hint="eastAsia" w:hAnsi="宋体" w:cs="宋体"/>
                <w:color w:val="000000"/>
                <w:kern w:val="0"/>
                <w:szCs w:val="21"/>
              </w:rPr>
              <w:t>套</w:t>
            </w:r>
          </w:p>
        </w:tc>
        <w:tc>
          <w:tcPr>
            <w:tcW w:w="2127" w:type="dxa"/>
            <w:vAlign w:val="center"/>
          </w:tcPr>
          <w:p>
            <w:pPr>
              <w:keepNext w:val="0"/>
              <w:keepLines w:val="0"/>
              <w:suppressLineNumbers w:val="0"/>
              <w:spacing w:before="0" w:beforeAutospacing="0" w:after="0" w:afterAutospacing="0"/>
              <w:ind w:left="0" w:right="0"/>
              <w:jc w:val="center"/>
              <w:rPr>
                <w:rFonts w:hint="default" w:hAnsi="宋体" w:cs="宋体"/>
                <w:color w:val="000000"/>
                <w:kern w:val="0"/>
                <w:szCs w:val="21"/>
              </w:rPr>
            </w:pPr>
            <w:r>
              <w:rPr>
                <w:rFonts w:hint="eastAsia" w:hAnsi="宋体" w:cs="宋体"/>
                <w:color w:val="000000"/>
                <w:kern w:val="0"/>
                <w:szCs w:val="21"/>
              </w:rPr>
              <w:t>复用现有移动安全管理系统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1372" w:type="dxa"/>
            <w:shd w:val="clear" w:color="auto" w:fill="auto"/>
            <w:vAlign w:val="center"/>
          </w:tcPr>
          <w:p>
            <w:pPr>
              <w:keepNext w:val="0"/>
              <w:keepLines w:val="0"/>
              <w:suppressLineNumbers w:val="0"/>
              <w:spacing w:before="0" w:beforeAutospacing="0" w:after="0" w:afterAutospacing="0"/>
              <w:ind w:left="0" w:right="0" w:firstLine="174" w:firstLineChars="83"/>
              <w:jc w:val="center"/>
              <w:rPr>
                <w:rFonts w:hint="default" w:hAnsi="宋体" w:cs="宋体"/>
                <w:color w:val="000000"/>
                <w:kern w:val="0"/>
                <w:szCs w:val="21"/>
              </w:rPr>
            </w:pPr>
            <w:r>
              <w:rPr>
                <w:rFonts w:hint="eastAsia" w:hAnsi="宋体" w:cs="宋体"/>
                <w:color w:val="000000"/>
                <w:kern w:val="0"/>
                <w:szCs w:val="21"/>
              </w:rPr>
              <w:t>5</w:t>
            </w:r>
          </w:p>
        </w:tc>
        <w:tc>
          <w:tcPr>
            <w:tcW w:w="2291" w:type="dxa"/>
            <w:shd w:val="clear" w:color="auto" w:fill="auto"/>
            <w:vAlign w:val="center"/>
          </w:tcPr>
          <w:p>
            <w:pPr>
              <w:keepNext w:val="0"/>
              <w:keepLines w:val="0"/>
              <w:suppressLineNumbers w:val="0"/>
              <w:spacing w:before="0" w:beforeAutospacing="0" w:after="0" w:afterAutospacing="0"/>
              <w:ind w:left="0" w:right="0"/>
              <w:jc w:val="center"/>
              <w:rPr>
                <w:rFonts w:hint="default" w:hAnsi="宋体" w:cs="宋体"/>
                <w:color w:val="000000"/>
                <w:kern w:val="0"/>
                <w:szCs w:val="21"/>
              </w:rPr>
            </w:pPr>
            <w:r>
              <w:rPr>
                <w:rFonts w:hint="eastAsia" w:hAnsi="宋体" w:cs="宋体"/>
                <w:color w:val="000000"/>
                <w:kern w:val="0"/>
                <w:szCs w:val="21"/>
              </w:rPr>
              <w:t>网闸信息推送接口定制</w:t>
            </w:r>
          </w:p>
        </w:tc>
        <w:tc>
          <w:tcPr>
            <w:tcW w:w="968" w:type="dxa"/>
            <w:shd w:val="clear" w:color="auto" w:fill="auto"/>
            <w:vAlign w:val="center"/>
          </w:tcPr>
          <w:p>
            <w:pPr>
              <w:keepNext w:val="0"/>
              <w:keepLines w:val="0"/>
              <w:suppressLineNumbers w:val="0"/>
              <w:spacing w:before="0" w:beforeAutospacing="0" w:after="0" w:afterAutospacing="0"/>
              <w:ind w:left="0" w:right="0"/>
              <w:jc w:val="center"/>
              <w:rPr>
                <w:rFonts w:hint="default" w:hAnsi="宋体" w:cs="宋体"/>
                <w:color w:val="000000"/>
                <w:kern w:val="0"/>
                <w:szCs w:val="21"/>
              </w:rPr>
            </w:pPr>
            <w:r>
              <w:rPr>
                <w:rFonts w:hint="default" w:hAnsi="宋体" w:cs="宋体"/>
                <w:color w:val="000000"/>
                <w:kern w:val="0"/>
                <w:szCs w:val="21"/>
              </w:rPr>
              <w:t>1</w:t>
            </w:r>
          </w:p>
        </w:tc>
        <w:tc>
          <w:tcPr>
            <w:tcW w:w="1275" w:type="dxa"/>
            <w:shd w:val="clear" w:color="auto" w:fill="auto"/>
            <w:vAlign w:val="center"/>
          </w:tcPr>
          <w:p>
            <w:pPr>
              <w:keepNext w:val="0"/>
              <w:keepLines w:val="0"/>
              <w:suppressLineNumbers w:val="0"/>
              <w:spacing w:before="0" w:beforeAutospacing="0" w:after="0" w:afterAutospacing="0"/>
              <w:ind w:left="0" w:right="0"/>
              <w:jc w:val="center"/>
              <w:rPr>
                <w:rFonts w:hint="default" w:hAnsi="宋体" w:cs="宋体"/>
                <w:color w:val="000000"/>
                <w:kern w:val="0"/>
                <w:szCs w:val="21"/>
              </w:rPr>
            </w:pPr>
            <w:r>
              <w:rPr>
                <w:rFonts w:hint="eastAsia" w:hAnsi="宋体" w:cs="宋体"/>
                <w:color w:val="000000"/>
                <w:kern w:val="0"/>
                <w:szCs w:val="21"/>
              </w:rPr>
              <w:t>套</w:t>
            </w:r>
          </w:p>
        </w:tc>
        <w:tc>
          <w:tcPr>
            <w:tcW w:w="2127" w:type="dxa"/>
            <w:vAlign w:val="center"/>
          </w:tcPr>
          <w:p>
            <w:pPr>
              <w:keepNext w:val="0"/>
              <w:keepLines w:val="0"/>
              <w:suppressLineNumbers w:val="0"/>
              <w:spacing w:before="0" w:beforeAutospacing="0" w:after="0" w:afterAutospacing="0"/>
              <w:ind w:left="0" w:right="0"/>
              <w:jc w:val="center"/>
              <w:rPr>
                <w:rFonts w:hint="default" w:hAnsi="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1372" w:type="dxa"/>
            <w:shd w:val="clear" w:color="auto" w:fill="auto"/>
            <w:vAlign w:val="center"/>
          </w:tcPr>
          <w:p>
            <w:pPr>
              <w:keepNext w:val="0"/>
              <w:keepLines w:val="0"/>
              <w:suppressLineNumbers w:val="0"/>
              <w:spacing w:before="0" w:beforeAutospacing="0" w:after="0" w:afterAutospacing="0"/>
              <w:ind w:left="0" w:right="0" w:firstLine="174" w:firstLineChars="83"/>
              <w:jc w:val="center"/>
              <w:rPr>
                <w:rFonts w:hint="default" w:hAnsi="宋体" w:cs="宋体"/>
                <w:color w:val="000000"/>
                <w:kern w:val="0"/>
                <w:szCs w:val="21"/>
              </w:rPr>
            </w:pPr>
            <w:r>
              <w:rPr>
                <w:rFonts w:hint="eastAsia" w:hAnsi="宋体" w:cs="宋体"/>
                <w:color w:val="000000"/>
                <w:kern w:val="0"/>
                <w:szCs w:val="21"/>
              </w:rPr>
              <w:t>6</w:t>
            </w:r>
          </w:p>
        </w:tc>
        <w:tc>
          <w:tcPr>
            <w:tcW w:w="2291" w:type="dxa"/>
            <w:shd w:val="clear" w:color="auto" w:fill="auto"/>
            <w:vAlign w:val="center"/>
          </w:tcPr>
          <w:p>
            <w:pPr>
              <w:keepNext w:val="0"/>
              <w:keepLines w:val="0"/>
              <w:suppressLineNumbers w:val="0"/>
              <w:spacing w:before="0" w:beforeAutospacing="0" w:after="0" w:afterAutospacing="0"/>
              <w:ind w:left="0" w:right="0"/>
              <w:jc w:val="center"/>
              <w:rPr>
                <w:rFonts w:hint="default" w:hAnsi="宋体" w:cs="宋体"/>
                <w:color w:val="000000"/>
                <w:kern w:val="0"/>
                <w:szCs w:val="21"/>
              </w:rPr>
            </w:pPr>
            <w:r>
              <w:rPr>
                <w:rFonts w:hint="eastAsia" w:hAnsi="宋体" w:cs="宋体"/>
                <w:color w:val="000000"/>
                <w:kern w:val="0"/>
                <w:szCs w:val="21"/>
              </w:rPr>
              <w:t>文件检测与告警</w:t>
            </w:r>
          </w:p>
        </w:tc>
        <w:tc>
          <w:tcPr>
            <w:tcW w:w="968" w:type="dxa"/>
            <w:shd w:val="clear" w:color="auto" w:fill="auto"/>
            <w:vAlign w:val="center"/>
          </w:tcPr>
          <w:p>
            <w:pPr>
              <w:keepNext w:val="0"/>
              <w:keepLines w:val="0"/>
              <w:suppressLineNumbers w:val="0"/>
              <w:spacing w:before="0" w:beforeAutospacing="0" w:after="0" w:afterAutospacing="0"/>
              <w:ind w:left="0" w:right="0"/>
              <w:jc w:val="center"/>
              <w:rPr>
                <w:rFonts w:hint="default" w:hAnsi="宋体" w:cs="宋体"/>
                <w:color w:val="000000"/>
                <w:kern w:val="0"/>
                <w:szCs w:val="21"/>
              </w:rPr>
            </w:pPr>
            <w:r>
              <w:rPr>
                <w:rFonts w:hint="eastAsia" w:hAnsi="宋体" w:cs="宋体"/>
                <w:color w:val="000000"/>
                <w:kern w:val="0"/>
                <w:szCs w:val="21"/>
              </w:rPr>
              <w:t>1000</w:t>
            </w:r>
          </w:p>
        </w:tc>
        <w:tc>
          <w:tcPr>
            <w:tcW w:w="1275" w:type="dxa"/>
            <w:shd w:val="clear" w:color="auto" w:fill="auto"/>
            <w:vAlign w:val="center"/>
          </w:tcPr>
          <w:p>
            <w:pPr>
              <w:keepNext w:val="0"/>
              <w:keepLines w:val="0"/>
              <w:suppressLineNumbers w:val="0"/>
              <w:spacing w:before="0" w:beforeAutospacing="0" w:after="0" w:afterAutospacing="0"/>
              <w:ind w:left="0" w:right="0"/>
              <w:jc w:val="center"/>
              <w:rPr>
                <w:rFonts w:hint="default" w:hAnsi="宋体" w:cs="宋体"/>
                <w:color w:val="000000"/>
                <w:kern w:val="0"/>
                <w:szCs w:val="21"/>
              </w:rPr>
            </w:pPr>
            <w:r>
              <w:rPr>
                <w:rFonts w:hint="eastAsia" w:hAnsi="宋体" w:cs="宋体"/>
                <w:color w:val="000000"/>
                <w:kern w:val="0"/>
                <w:szCs w:val="21"/>
              </w:rPr>
              <w:t>台</w:t>
            </w:r>
          </w:p>
        </w:tc>
        <w:tc>
          <w:tcPr>
            <w:tcW w:w="2127" w:type="dxa"/>
            <w:vAlign w:val="center"/>
          </w:tcPr>
          <w:p>
            <w:pPr>
              <w:keepNext w:val="0"/>
              <w:keepLines w:val="0"/>
              <w:suppressLineNumbers w:val="0"/>
              <w:spacing w:before="0" w:beforeAutospacing="0" w:after="0" w:afterAutospacing="0"/>
              <w:ind w:left="0" w:right="0"/>
              <w:jc w:val="center"/>
              <w:rPr>
                <w:rFonts w:hint="default" w:hAnsi="宋体" w:cs="宋体"/>
                <w:color w:val="000000"/>
                <w:kern w:val="0"/>
                <w:szCs w:val="21"/>
              </w:rPr>
            </w:pPr>
            <w:r>
              <w:rPr>
                <w:rFonts w:hint="eastAsia" w:hAnsi="宋体" w:cs="宋体"/>
                <w:color w:val="000000"/>
                <w:kern w:val="0"/>
                <w:szCs w:val="21"/>
              </w:rPr>
              <w:t>文件检测与告警（关键字检测）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1372" w:type="dxa"/>
            <w:shd w:val="clear" w:color="auto" w:fill="auto"/>
            <w:vAlign w:val="center"/>
          </w:tcPr>
          <w:p>
            <w:pPr>
              <w:keepNext w:val="0"/>
              <w:keepLines w:val="0"/>
              <w:suppressLineNumbers w:val="0"/>
              <w:spacing w:before="0" w:beforeAutospacing="0" w:after="0" w:afterAutospacing="0"/>
              <w:ind w:left="0" w:right="0" w:firstLine="174" w:firstLineChars="83"/>
              <w:jc w:val="center"/>
              <w:rPr>
                <w:rFonts w:hint="default" w:hAnsi="宋体" w:cs="宋体"/>
                <w:color w:val="000000"/>
                <w:kern w:val="0"/>
                <w:szCs w:val="21"/>
              </w:rPr>
            </w:pPr>
            <w:r>
              <w:rPr>
                <w:rFonts w:hint="eastAsia" w:hAnsi="宋体" w:cs="宋体"/>
                <w:color w:val="000000"/>
                <w:kern w:val="0"/>
                <w:szCs w:val="21"/>
              </w:rPr>
              <w:t>7</w:t>
            </w:r>
          </w:p>
        </w:tc>
        <w:tc>
          <w:tcPr>
            <w:tcW w:w="2291" w:type="dxa"/>
            <w:shd w:val="clear" w:color="auto" w:fill="auto"/>
            <w:vAlign w:val="center"/>
          </w:tcPr>
          <w:p>
            <w:pPr>
              <w:keepNext w:val="0"/>
              <w:keepLines w:val="0"/>
              <w:suppressLineNumbers w:val="0"/>
              <w:spacing w:before="0" w:beforeAutospacing="0" w:after="0" w:afterAutospacing="0"/>
              <w:ind w:left="0" w:right="0"/>
              <w:jc w:val="center"/>
              <w:rPr>
                <w:rFonts w:hint="default" w:hAnsi="宋体" w:cs="宋体"/>
                <w:color w:val="000000"/>
                <w:kern w:val="0"/>
                <w:szCs w:val="21"/>
              </w:rPr>
            </w:pPr>
            <w:r>
              <w:rPr>
                <w:rFonts w:hint="eastAsia" w:hAnsi="宋体" w:cs="宋体"/>
                <w:color w:val="000000"/>
                <w:kern w:val="0"/>
                <w:szCs w:val="21"/>
              </w:rPr>
              <w:t>终端安全管理软件</w:t>
            </w:r>
          </w:p>
        </w:tc>
        <w:tc>
          <w:tcPr>
            <w:tcW w:w="968" w:type="dxa"/>
            <w:shd w:val="clear" w:color="auto" w:fill="auto"/>
            <w:vAlign w:val="center"/>
          </w:tcPr>
          <w:p>
            <w:pPr>
              <w:keepNext w:val="0"/>
              <w:keepLines w:val="0"/>
              <w:suppressLineNumbers w:val="0"/>
              <w:spacing w:before="0" w:beforeAutospacing="0" w:after="0" w:afterAutospacing="0"/>
              <w:ind w:left="0" w:right="0"/>
              <w:jc w:val="center"/>
              <w:rPr>
                <w:rFonts w:hint="default" w:hAnsi="宋体" w:cs="宋体"/>
                <w:color w:val="000000"/>
                <w:kern w:val="0"/>
                <w:szCs w:val="21"/>
              </w:rPr>
            </w:pPr>
            <w:r>
              <w:rPr>
                <w:rFonts w:hint="eastAsia" w:hAnsi="宋体" w:cs="宋体"/>
                <w:color w:val="000000"/>
                <w:kern w:val="0"/>
                <w:szCs w:val="21"/>
              </w:rPr>
              <w:t>1000</w:t>
            </w:r>
          </w:p>
        </w:tc>
        <w:tc>
          <w:tcPr>
            <w:tcW w:w="1275" w:type="dxa"/>
            <w:shd w:val="clear" w:color="auto" w:fill="auto"/>
            <w:vAlign w:val="center"/>
          </w:tcPr>
          <w:p>
            <w:pPr>
              <w:keepNext w:val="0"/>
              <w:keepLines w:val="0"/>
              <w:suppressLineNumbers w:val="0"/>
              <w:spacing w:before="0" w:beforeAutospacing="0" w:after="0" w:afterAutospacing="0"/>
              <w:ind w:left="0" w:right="0"/>
              <w:jc w:val="center"/>
              <w:rPr>
                <w:rFonts w:hint="default" w:hAnsi="宋体" w:cs="宋体"/>
                <w:color w:val="000000"/>
                <w:kern w:val="0"/>
                <w:szCs w:val="21"/>
              </w:rPr>
            </w:pPr>
            <w:r>
              <w:rPr>
                <w:rFonts w:hint="eastAsia" w:hAnsi="宋体" w:cs="宋体"/>
                <w:color w:val="000000"/>
                <w:kern w:val="0"/>
                <w:szCs w:val="21"/>
              </w:rPr>
              <w:t>台</w:t>
            </w:r>
          </w:p>
        </w:tc>
        <w:tc>
          <w:tcPr>
            <w:tcW w:w="2127" w:type="dxa"/>
            <w:vAlign w:val="center"/>
          </w:tcPr>
          <w:p>
            <w:pPr>
              <w:keepNext w:val="0"/>
              <w:keepLines w:val="0"/>
              <w:suppressLineNumbers w:val="0"/>
              <w:spacing w:before="0" w:beforeAutospacing="0" w:after="0" w:afterAutospacing="0"/>
              <w:ind w:left="0" w:right="0"/>
              <w:jc w:val="center"/>
              <w:rPr>
                <w:rFonts w:hint="default" w:hAnsi="宋体" w:cs="宋体"/>
                <w:color w:val="000000"/>
                <w:kern w:val="0"/>
                <w:szCs w:val="21"/>
              </w:rPr>
            </w:pPr>
            <w:r>
              <w:rPr>
                <w:rFonts w:hint="eastAsia" w:hAnsi="宋体" w:cs="宋体"/>
                <w:color w:val="000000"/>
                <w:kern w:val="0"/>
                <w:szCs w:val="21"/>
              </w:rPr>
              <w:t>含进程白名单防护、外设管控</w:t>
            </w:r>
          </w:p>
        </w:tc>
      </w:tr>
    </w:tbl>
    <w:p>
      <w:pPr>
        <w:jc w:val="center"/>
        <w:rPr>
          <w:rFonts w:ascii="宋体" w:hAnsi="宋体" w:eastAsia="宋体" w:cs="宋体"/>
        </w:rPr>
      </w:pPr>
    </w:p>
    <w:p>
      <w:pPr>
        <w:rPr>
          <w:sz w:val="2"/>
        </w:rPr>
      </w:pPr>
    </w:p>
    <w:p>
      <w:pPr>
        <w:spacing w:line="360" w:lineRule="auto"/>
        <w:rPr>
          <w:rFonts w:asciiTheme="minorEastAsia" w:hAnsiTheme="minorEastAsia"/>
          <w:sz w:val="24"/>
        </w:rPr>
      </w:pPr>
      <w:r>
        <w:rPr>
          <w:rFonts w:hint="eastAsia" w:asciiTheme="minorEastAsia" w:hAnsiTheme="minorEastAsia"/>
          <w:b/>
          <w:sz w:val="24"/>
          <w:lang w:val="en-US" w:eastAsia="zh-CN"/>
        </w:rPr>
        <w:t>3</w:t>
      </w:r>
      <w:r>
        <w:rPr>
          <w:rFonts w:hint="eastAsia" w:asciiTheme="minorEastAsia" w:hAnsiTheme="minorEastAsia"/>
          <w:b/>
          <w:sz w:val="24"/>
        </w:rPr>
        <w:t>.设备操作培训、验收等要求。</w:t>
      </w:r>
    </w:p>
    <w:p>
      <w:pPr>
        <w:spacing w:line="360" w:lineRule="auto"/>
        <w:ind w:firstLine="480" w:firstLineChars="200"/>
        <w:rPr>
          <w:rFonts w:asciiTheme="minorEastAsia" w:hAnsiTheme="minorEastAsia"/>
          <w:sz w:val="24"/>
        </w:rPr>
      </w:pPr>
      <w:r>
        <w:rPr>
          <w:rFonts w:hint="eastAsia" w:asciiTheme="minorEastAsia" w:hAnsiTheme="minorEastAsia"/>
          <w:sz w:val="24"/>
          <w:lang w:val="en-US" w:eastAsia="zh-CN"/>
        </w:rPr>
        <w:t>3.</w:t>
      </w:r>
      <w:r>
        <w:rPr>
          <w:rFonts w:hint="eastAsia" w:asciiTheme="minorEastAsia" w:hAnsiTheme="minorEastAsia"/>
          <w:sz w:val="24"/>
        </w:rPr>
        <w:t>1需负责对招标方操作人员进行技术培训指导，直至操作人员能够安装、调试及处理简单常见故障，培训在招标人指定地点进行。</w:t>
      </w:r>
    </w:p>
    <w:p>
      <w:pPr>
        <w:spacing w:line="360" w:lineRule="auto"/>
        <w:ind w:firstLine="480" w:firstLineChars="200"/>
        <w:rPr>
          <w:rFonts w:asciiTheme="minorEastAsia" w:hAnsiTheme="minorEastAsia"/>
          <w:sz w:val="24"/>
        </w:rPr>
      </w:pPr>
      <w:r>
        <w:rPr>
          <w:rFonts w:hint="eastAsia" w:asciiTheme="minorEastAsia" w:hAnsiTheme="minorEastAsia"/>
          <w:sz w:val="24"/>
          <w:lang w:val="en-US" w:eastAsia="zh-CN"/>
        </w:rPr>
        <w:t>3.</w:t>
      </w:r>
      <w:r>
        <w:rPr>
          <w:rFonts w:hint="eastAsia" w:asciiTheme="minorEastAsia" w:hAnsiTheme="minorEastAsia"/>
          <w:sz w:val="24"/>
        </w:rPr>
        <w:t>2使用过程中如发现质量问题，投标人接到通知后必须迅速解决。需要派遣技术人员到现场的，在得到招标人许可后，迅速派技术人员到现场对应。</w:t>
      </w:r>
    </w:p>
    <w:p>
      <w:pPr>
        <w:spacing w:line="360" w:lineRule="auto"/>
        <w:ind w:firstLine="480" w:firstLineChars="200"/>
        <w:rPr>
          <w:rFonts w:asciiTheme="minorEastAsia" w:hAnsiTheme="minorEastAsia"/>
          <w:sz w:val="24"/>
        </w:rPr>
      </w:pPr>
      <w:r>
        <w:rPr>
          <w:rFonts w:hint="eastAsia" w:asciiTheme="minorEastAsia" w:hAnsiTheme="minorEastAsia"/>
          <w:sz w:val="24"/>
        </w:rPr>
        <w:t>3</w:t>
      </w:r>
      <w:r>
        <w:rPr>
          <w:rFonts w:hint="eastAsia" w:asciiTheme="minorEastAsia" w:hAnsiTheme="minorEastAsia"/>
          <w:sz w:val="24"/>
          <w:lang w:eastAsia="zh-CN"/>
        </w:rPr>
        <w:t>.</w:t>
      </w:r>
      <w:r>
        <w:rPr>
          <w:rFonts w:hint="eastAsia" w:asciiTheme="minorEastAsia" w:hAnsiTheme="minorEastAsia"/>
          <w:sz w:val="24"/>
          <w:lang w:val="en-US" w:eastAsia="zh-CN"/>
        </w:rPr>
        <w:t>3</w:t>
      </w:r>
      <w:r>
        <w:rPr>
          <w:rFonts w:hint="eastAsia" w:asciiTheme="minorEastAsia" w:hAnsiTheme="minorEastAsia"/>
          <w:sz w:val="24"/>
        </w:rPr>
        <w:t>招标人为进行维修而要求生产并供应的设备零部件 (以下简称「维修零部件」)，投标人应尽可能满足该要求。维修零部件的价格和数量由双方协商决定。</w:t>
      </w:r>
    </w:p>
    <w:p>
      <w:pPr>
        <w:spacing w:line="360" w:lineRule="auto"/>
        <w:ind w:firstLine="480" w:firstLineChars="200"/>
        <w:rPr>
          <w:rFonts w:hint="eastAsia" w:asciiTheme="minorEastAsia" w:hAnsiTheme="minorEastAsia"/>
          <w:sz w:val="24"/>
        </w:rPr>
      </w:pPr>
      <w:r>
        <w:rPr>
          <w:rFonts w:hint="eastAsia" w:asciiTheme="minorEastAsia" w:hAnsiTheme="minorEastAsia"/>
          <w:sz w:val="24"/>
          <w:lang w:val="en-US" w:eastAsia="zh-CN"/>
        </w:rPr>
        <w:t>3.4</w:t>
      </w:r>
      <w:r>
        <w:rPr>
          <w:rFonts w:hint="eastAsia" w:asciiTheme="minorEastAsia" w:hAnsiTheme="minorEastAsia"/>
          <w:sz w:val="24"/>
        </w:rPr>
        <w:t>设备质量保证期为最终交付验收合格之日算起1年或一年以上。质保期内设备免费维修，由此发生的所有相关费用（包括更换零部件等内容）由投标人承担。</w:t>
      </w:r>
    </w:p>
    <w:p>
      <w:pPr>
        <w:spacing w:line="360" w:lineRule="auto"/>
        <w:ind w:firstLine="480" w:firstLineChars="200"/>
        <w:rPr>
          <w:rFonts w:hint="eastAsia" w:asciiTheme="minorEastAsia" w:hAnsiTheme="minorEastAsia"/>
          <w:sz w:val="24"/>
          <w:lang w:val="en-US" w:eastAsia="zh-CN"/>
        </w:rPr>
      </w:pPr>
      <w:r>
        <w:rPr>
          <w:rFonts w:hint="eastAsia" w:asciiTheme="minorEastAsia" w:hAnsiTheme="minorEastAsia"/>
          <w:sz w:val="24"/>
          <w:lang w:val="en-US" w:eastAsia="zh-CN"/>
        </w:rPr>
        <w:t>3.5 设备运行效率≥80%</w:t>
      </w:r>
    </w:p>
    <w:p>
      <w:pPr>
        <w:spacing w:line="360" w:lineRule="auto"/>
        <w:ind w:firstLine="480" w:firstLineChars="200"/>
        <w:rPr>
          <w:rFonts w:hint="eastAsia" w:asciiTheme="minorEastAsia" w:hAnsiTheme="minorEastAsia"/>
          <w:sz w:val="24"/>
          <w:lang w:val="en-US" w:eastAsia="zh-CN"/>
        </w:rPr>
      </w:pPr>
      <w:r>
        <w:rPr>
          <w:rFonts w:hint="eastAsia" w:asciiTheme="minorEastAsia" w:hAnsiTheme="minorEastAsia"/>
          <w:sz w:val="24"/>
          <w:lang w:val="en-US" w:eastAsia="zh-CN"/>
        </w:rPr>
        <w:t>3.6 标准件能耗等级：不低于国家及相关行业等标准规定的二级要求。</w:t>
      </w:r>
    </w:p>
    <w:p>
      <w:pPr>
        <w:spacing w:line="360" w:lineRule="auto"/>
        <w:ind w:firstLine="480" w:firstLineChars="200"/>
        <w:rPr>
          <w:rFonts w:hint="default" w:asciiTheme="minorEastAsia" w:hAnsiTheme="minorEastAsia"/>
          <w:sz w:val="24"/>
          <w:lang w:val="en-US" w:eastAsia="zh-CN"/>
        </w:rPr>
      </w:pPr>
      <w:r>
        <w:rPr>
          <w:rFonts w:hint="eastAsia" w:asciiTheme="minorEastAsia" w:hAnsiTheme="minorEastAsia"/>
          <w:sz w:val="24"/>
          <w:lang w:val="en-US" w:eastAsia="zh-CN"/>
        </w:rPr>
        <w:t>3.7 需标明产品能耗等级，并提供相关证明或测试报告。</w:t>
      </w:r>
    </w:p>
    <w:p>
      <w:pPr>
        <w:spacing w:line="360" w:lineRule="auto"/>
        <w:rPr>
          <w:rFonts w:asciiTheme="minorEastAsia" w:hAnsiTheme="minorEastAsia"/>
          <w:b/>
          <w:sz w:val="24"/>
        </w:rPr>
      </w:pPr>
      <w:r>
        <w:rPr>
          <w:rFonts w:hint="eastAsia" w:asciiTheme="minorEastAsia" w:hAnsiTheme="minorEastAsia"/>
          <w:b/>
          <w:sz w:val="24"/>
          <w:lang w:val="en-US" w:eastAsia="zh-CN"/>
        </w:rPr>
        <w:t>4</w:t>
      </w:r>
      <w:r>
        <w:rPr>
          <w:rFonts w:hint="eastAsia" w:asciiTheme="minorEastAsia" w:hAnsiTheme="minorEastAsia"/>
          <w:b/>
          <w:sz w:val="24"/>
        </w:rPr>
        <w:t>.设备交付需提供的相关资料、附件。</w:t>
      </w:r>
    </w:p>
    <w:p>
      <w:pPr>
        <w:spacing w:line="360" w:lineRule="auto"/>
        <w:ind w:firstLine="480" w:firstLineChars="200"/>
        <w:rPr>
          <w:rFonts w:asciiTheme="minorEastAsia" w:hAnsiTheme="minorEastAsia"/>
          <w:sz w:val="24"/>
        </w:rPr>
      </w:pPr>
      <w:r>
        <w:rPr>
          <w:rFonts w:hint="eastAsia" w:asciiTheme="minorEastAsia" w:hAnsiTheme="minorEastAsia"/>
          <w:sz w:val="24"/>
        </w:rPr>
        <w:t>验收资料纸质版及电子版各一份，资料需双方进行签署确认，具体清单如下：</w:t>
      </w:r>
    </w:p>
    <w:p>
      <w:pPr>
        <w:pStyle w:val="11"/>
        <w:numPr>
          <w:ilvl w:val="0"/>
          <w:numId w:val="8"/>
        </w:numPr>
        <w:spacing w:line="420" w:lineRule="exact"/>
        <w:ind w:firstLineChars="0"/>
        <w:rPr>
          <w:rFonts w:ascii="宋体" w:hAnsi="宋体"/>
          <w:sz w:val="24"/>
        </w:rPr>
      </w:pPr>
      <w:r>
        <w:rPr>
          <w:rFonts w:hint="eastAsia" w:ascii="宋体" w:hAnsi="宋体"/>
          <w:sz w:val="24"/>
        </w:rPr>
        <w:t>设备操作规程；</w:t>
      </w:r>
    </w:p>
    <w:p>
      <w:pPr>
        <w:pStyle w:val="11"/>
        <w:numPr>
          <w:ilvl w:val="0"/>
          <w:numId w:val="8"/>
        </w:numPr>
        <w:spacing w:line="420" w:lineRule="exact"/>
        <w:ind w:firstLineChars="0"/>
        <w:rPr>
          <w:rFonts w:ascii="宋体" w:hAnsi="宋体"/>
          <w:sz w:val="24"/>
        </w:rPr>
      </w:pPr>
      <w:r>
        <w:rPr>
          <w:rFonts w:hint="eastAsia" w:ascii="宋体" w:hAnsi="宋体"/>
          <w:sz w:val="24"/>
        </w:rPr>
        <w:t>附件清单；</w:t>
      </w:r>
    </w:p>
    <w:p>
      <w:pPr>
        <w:pStyle w:val="11"/>
        <w:numPr>
          <w:ilvl w:val="0"/>
          <w:numId w:val="8"/>
        </w:numPr>
        <w:spacing w:line="420" w:lineRule="exact"/>
        <w:ind w:firstLineChars="0"/>
        <w:rPr>
          <w:rFonts w:ascii="宋体" w:hAnsi="宋体"/>
          <w:sz w:val="24"/>
        </w:rPr>
      </w:pPr>
      <w:r>
        <w:rPr>
          <w:rFonts w:hint="eastAsia" w:ascii="宋体" w:hAnsi="宋体"/>
          <w:sz w:val="24"/>
        </w:rPr>
        <w:t>设备使用维护说明书（含配件的型号、规格）。</w:t>
      </w:r>
    </w:p>
    <w:p>
      <w:pPr>
        <w:pStyle w:val="11"/>
        <w:spacing w:line="420" w:lineRule="exact"/>
        <w:ind w:firstLine="0" w:firstLineChars="0"/>
        <w:rPr>
          <w:rFonts w:ascii="宋体" w:hAnsi="宋体"/>
          <w:sz w:val="24"/>
        </w:rPr>
      </w:pPr>
    </w:p>
    <w:p>
      <w:pPr>
        <w:pStyle w:val="11"/>
        <w:spacing w:line="420" w:lineRule="exact"/>
        <w:ind w:firstLine="0" w:firstLineChars="0"/>
        <w:rPr>
          <w:rFonts w:ascii="宋体" w:hAnsi="宋体"/>
          <w:sz w:val="24"/>
        </w:rPr>
      </w:pPr>
    </w:p>
    <w:p>
      <w:pPr>
        <w:pStyle w:val="11"/>
        <w:spacing w:line="420" w:lineRule="exact"/>
        <w:ind w:firstLine="0" w:firstLineChars="0"/>
        <w:rPr>
          <w:rFonts w:ascii="宋体" w:hAnsi="宋体"/>
          <w:sz w:val="24"/>
        </w:rPr>
      </w:pPr>
    </w:p>
    <w:p>
      <w:pPr>
        <w:pStyle w:val="11"/>
        <w:spacing w:line="420" w:lineRule="exact"/>
        <w:ind w:firstLine="0" w:firstLineChars="0"/>
        <w:rPr>
          <w:rFonts w:ascii="宋体" w:hAnsi="宋体"/>
          <w:sz w:val="24"/>
        </w:rPr>
      </w:pPr>
    </w:p>
    <w:p>
      <w:pPr>
        <w:tabs>
          <w:tab w:val="left" w:pos="4140"/>
        </w:tabs>
        <w:spacing w:line="360" w:lineRule="auto"/>
        <w:jc w:val="center"/>
        <w:rPr>
          <w:rFonts w:ascii="宋体" w:hAnsi="宋体"/>
          <w:b/>
          <w:bCs/>
          <w:sz w:val="32"/>
        </w:rPr>
      </w:pPr>
      <w:r>
        <w:rPr>
          <w:rFonts w:hint="eastAsia" w:ascii="宋体" w:hAnsi="宋体"/>
          <w:b/>
          <w:bCs/>
          <w:sz w:val="32"/>
        </w:rPr>
        <w:t>投标书（格式）</w:t>
      </w:r>
    </w:p>
    <w:p>
      <w:pPr>
        <w:spacing w:line="360" w:lineRule="auto"/>
        <w:rPr>
          <w:rFonts w:ascii="宋体" w:hAnsi="宋体"/>
          <w:sz w:val="24"/>
        </w:rPr>
      </w:pPr>
      <w:r>
        <w:rPr>
          <w:rFonts w:hint="eastAsia" w:ascii="宋体" w:hAnsi="宋体"/>
          <w:sz w:val="24"/>
        </w:rPr>
        <w:t>致：贵州航天林泉电机有限公司</w:t>
      </w:r>
    </w:p>
    <w:p>
      <w:pPr>
        <w:spacing w:line="360" w:lineRule="auto"/>
        <w:ind w:firstLine="480"/>
        <w:rPr>
          <w:rFonts w:ascii="宋体" w:hAnsi="宋体"/>
          <w:sz w:val="24"/>
        </w:rPr>
      </w:pPr>
      <w:r>
        <w:rPr>
          <w:rFonts w:hint="eastAsia" w:ascii="宋体" w:hAnsi="宋体"/>
          <w:sz w:val="24"/>
        </w:rPr>
        <w:t>根据贵方为项目招标采购货物及服务的投标邀请，签字代表（全名、职务）经正式授权并代表投标人（投标人名称、地址）提交下述正本一份和副本二份。</w:t>
      </w:r>
    </w:p>
    <w:p>
      <w:pPr>
        <w:numPr>
          <w:ilvl w:val="0"/>
          <w:numId w:val="9"/>
        </w:numPr>
        <w:spacing w:line="360" w:lineRule="auto"/>
        <w:rPr>
          <w:rFonts w:ascii="宋体" w:hAnsi="宋体"/>
          <w:sz w:val="24"/>
        </w:rPr>
      </w:pPr>
      <w:r>
        <w:rPr>
          <w:rFonts w:hint="eastAsia" w:ascii="宋体" w:hAnsi="宋体"/>
          <w:sz w:val="24"/>
        </w:rPr>
        <w:t>投标书；</w:t>
      </w:r>
    </w:p>
    <w:p>
      <w:pPr>
        <w:numPr>
          <w:ilvl w:val="0"/>
          <w:numId w:val="9"/>
        </w:numPr>
        <w:spacing w:line="360" w:lineRule="auto"/>
        <w:rPr>
          <w:rFonts w:ascii="宋体" w:hAnsi="宋体"/>
          <w:sz w:val="24"/>
        </w:rPr>
      </w:pPr>
      <w:r>
        <w:rPr>
          <w:rFonts w:hint="eastAsia" w:ascii="宋体" w:hAnsi="宋体"/>
          <w:sz w:val="24"/>
        </w:rPr>
        <w:t>投标价格表；</w:t>
      </w:r>
    </w:p>
    <w:p>
      <w:pPr>
        <w:numPr>
          <w:ilvl w:val="0"/>
          <w:numId w:val="9"/>
        </w:numPr>
        <w:spacing w:line="360" w:lineRule="auto"/>
        <w:rPr>
          <w:rFonts w:ascii="宋体" w:hAnsi="宋体"/>
          <w:sz w:val="24"/>
        </w:rPr>
      </w:pPr>
      <w:r>
        <w:rPr>
          <w:rFonts w:hint="eastAsia" w:ascii="宋体" w:hAnsi="宋体"/>
          <w:sz w:val="24"/>
        </w:rPr>
        <w:t>投标设备技术性能指标的详细描述；</w:t>
      </w:r>
    </w:p>
    <w:p>
      <w:pPr>
        <w:numPr>
          <w:ilvl w:val="0"/>
          <w:numId w:val="9"/>
        </w:numPr>
        <w:spacing w:line="360" w:lineRule="auto"/>
        <w:rPr>
          <w:rFonts w:ascii="宋体" w:hAnsi="宋体"/>
          <w:sz w:val="24"/>
        </w:rPr>
      </w:pPr>
      <w:r>
        <w:rPr>
          <w:rFonts w:hint="eastAsia" w:ascii="宋体" w:hAnsi="宋体"/>
          <w:sz w:val="24"/>
        </w:rPr>
        <w:t>商务资料；</w:t>
      </w:r>
    </w:p>
    <w:p>
      <w:pPr>
        <w:numPr>
          <w:ilvl w:val="0"/>
          <w:numId w:val="9"/>
        </w:numPr>
        <w:spacing w:line="360" w:lineRule="auto"/>
        <w:rPr>
          <w:rFonts w:ascii="宋体" w:hAnsi="宋体"/>
          <w:sz w:val="24"/>
        </w:rPr>
      </w:pPr>
      <w:r>
        <w:rPr>
          <w:rFonts w:hint="eastAsia" w:ascii="宋体" w:hAnsi="宋体"/>
          <w:sz w:val="24"/>
        </w:rPr>
        <w:t>规格、技术参数偏离表；</w:t>
      </w:r>
    </w:p>
    <w:p>
      <w:pPr>
        <w:numPr>
          <w:ilvl w:val="0"/>
          <w:numId w:val="9"/>
        </w:numPr>
        <w:spacing w:line="360" w:lineRule="auto"/>
        <w:rPr>
          <w:rFonts w:ascii="宋体" w:hAnsi="宋体"/>
          <w:sz w:val="24"/>
        </w:rPr>
      </w:pPr>
      <w:r>
        <w:rPr>
          <w:rFonts w:hint="eastAsia" w:ascii="宋体" w:hAnsi="宋体"/>
          <w:sz w:val="24"/>
        </w:rPr>
        <w:t>其他材料。</w:t>
      </w:r>
    </w:p>
    <w:p>
      <w:pPr>
        <w:spacing w:line="360" w:lineRule="auto"/>
        <w:rPr>
          <w:rFonts w:ascii="宋体" w:hAnsi="宋体"/>
          <w:sz w:val="24"/>
        </w:rPr>
      </w:pPr>
      <w:r>
        <w:rPr>
          <w:rFonts w:hint="eastAsia" w:ascii="宋体" w:hAnsi="宋体"/>
          <w:sz w:val="24"/>
        </w:rPr>
        <w:t>据此函，签字代表宣布同意如下：</w:t>
      </w:r>
    </w:p>
    <w:p>
      <w:pPr>
        <w:spacing w:line="360" w:lineRule="auto"/>
        <w:ind w:firstLine="480" w:firstLineChars="200"/>
        <w:rPr>
          <w:rFonts w:ascii="宋体" w:hAnsi="宋体"/>
          <w:sz w:val="24"/>
          <w:u w:val="single"/>
        </w:rPr>
      </w:pPr>
      <w:r>
        <w:rPr>
          <w:rFonts w:hint="eastAsia" w:ascii="宋体" w:hAnsi="宋体"/>
          <w:sz w:val="24"/>
        </w:rPr>
        <w:t>1、附投标价格中规定的应提供和交付的货物投标总价为</w:t>
      </w:r>
    </w:p>
    <w:p>
      <w:pPr>
        <w:spacing w:line="360" w:lineRule="auto"/>
        <w:rPr>
          <w:rFonts w:ascii="宋体" w:hAnsi="宋体"/>
          <w:sz w:val="24"/>
        </w:rPr>
      </w:pPr>
      <w:r>
        <w:rPr>
          <w:rFonts w:hint="eastAsia" w:ascii="宋体" w:hAnsi="宋体"/>
          <w:sz w:val="24"/>
        </w:rPr>
        <w:t>（注明币种），即（文字表述）。</w:t>
      </w:r>
    </w:p>
    <w:p>
      <w:pPr>
        <w:spacing w:line="360" w:lineRule="auto"/>
        <w:rPr>
          <w:rFonts w:ascii="宋体" w:hAnsi="宋体"/>
          <w:sz w:val="24"/>
        </w:rPr>
      </w:pPr>
      <w:r>
        <w:rPr>
          <w:rFonts w:hint="eastAsia" w:ascii="宋体" w:hAnsi="宋体"/>
          <w:sz w:val="24"/>
        </w:rPr>
        <w:t xml:space="preserve">    2、我们将按招标文件的规定履行合同责任和义务。</w:t>
      </w:r>
    </w:p>
    <w:p>
      <w:pPr>
        <w:spacing w:line="360" w:lineRule="auto"/>
        <w:rPr>
          <w:rFonts w:ascii="宋体" w:hAnsi="宋体"/>
          <w:sz w:val="24"/>
        </w:rPr>
      </w:pPr>
      <w:r>
        <w:rPr>
          <w:rFonts w:hint="eastAsia" w:ascii="宋体" w:hAnsi="宋体"/>
          <w:sz w:val="24"/>
        </w:rPr>
        <w:t xml:space="preserve">    3、我们已详细审查全部招标文件，包括修改文件（如有的话）以及全部参考资料和有关附件。我们完全理解并同意放弃对这方面有不明及误解的权利。</w:t>
      </w:r>
    </w:p>
    <w:p>
      <w:pPr>
        <w:spacing w:line="360" w:lineRule="auto"/>
        <w:ind w:firstLine="480" w:firstLineChars="200"/>
        <w:rPr>
          <w:rFonts w:ascii="宋体" w:hAnsi="宋体"/>
          <w:sz w:val="24"/>
        </w:rPr>
      </w:pPr>
      <w:r>
        <w:rPr>
          <w:rFonts w:hint="eastAsia" w:ascii="宋体" w:hAnsi="宋体"/>
          <w:sz w:val="24"/>
        </w:rPr>
        <w:t>4、本投标自开标日起有效期为个日历日。</w:t>
      </w:r>
    </w:p>
    <w:p>
      <w:pPr>
        <w:spacing w:line="360" w:lineRule="auto"/>
        <w:ind w:firstLine="480" w:firstLineChars="200"/>
        <w:rPr>
          <w:rFonts w:ascii="宋体" w:hAnsi="宋体"/>
          <w:sz w:val="24"/>
        </w:rPr>
      </w:pPr>
      <w:r>
        <w:rPr>
          <w:rFonts w:hint="eastAsia" w:ascii="宋体" w:hAnsi="宋体"/>
          <w:sz w:val="24"/>
        </w:rPr>
        <w:t>5、我们同意提供按照贵方可能要求的与本投标有关的一切数据或资料，完全理解贵方不一定要接受最低价的投标或收到的任何投标。</w:t>
      </w:r>
    </w:p>
    <w:p>
      <w:pPr>
        <w:spacing w:line="360" w:lineRule="auto"/>
        <w:ind w:firstLine="480" w:firstLineChars="200"/>
        <w:rPr>
          <w:rFonts w:ascii="宋体" w:hAnsi="宋体"/>
          <w:sz w:val="24"/>
        </w:rPr>
      </w:pPr>
      <w:r>
        <w:rPr>
          <w:rFonts w:hint="eastAsia" w:ascii="宋体" w:hAnsi="宋体"/>
          <w:sz w:val="24"/>
        </w:rPr>
        <w:t>6、与本投标有关的一切正式往来通讯请寄：</w:t>
      </w:r>
    </w:p>
    <w:p>
      <w:pPr>
        <w:spacing w:line="360" w:lineRule="auto"/>
        <w:ind w:firstLine="480" w:firstLineChars="200"/>
        <w:rPr>
          <w:rFonts w:ascii="宋体" w:hAnsi="宋体"/>
          <w:sz w:val="24"/>
          <w:u w:val="single"/>
        </w:rPr>
      </w:pPr>
      <w:r>
        <w:rPr>
          <w:rFonts w:hint="eastAsia" w:ascii="宋体" w:hAnsi="宋体"/>
          <w:sz w:val="24"/>
        </w:rPr>
        <w:t xml:space="preserve">    地址：     邮编：</w:t>
      </w:r>
    </w:p>
    <w:p>
      <w:pPr>
        <w:spacing w:line="360" w:lineRule="auto"/>
        <w:ind w:firstLine="480" w:firstLineChars="200"/>
        <w:rPr>
          <w:rFonts w:ascii="宋体" w:hAnsi="宋体"/>
          <w:sz w:val="24"/>
          <w:u w:val="single"/>
        </w:rPr>
      </w:pPr>
      <w:r>
        <w:rPr>
          <w:rFonts w:hint="eastAsia" w:ascii="宋体" w:hAnsi="宋体"/>
          <w:sz w:val="24"/>
        </w:rPr>
        <w:t xml:space="preserve">    电话：     传真：</w:t>
      </w:r>
    </w:p>
    <w:p>
      <w:pPr>
        <w:spacing w:line="360" w:lineRule="auto"/>
        <w:ind w:firstLine="480" w:firstLineChars="200"/>
        <w:rPr>
          <w:rFonts w:ascii="宋体" w:hAnsi="宋体"/>
          <w:sz w:val="24"/>
          <w:u w:val="single"/>
        </w:rPr>
      </w:pPr>
      <w:r>
        <w:rPr>
          <w:rFonts w:hint="eastAsia" w:ascii="宋体" w:hAnsi="宋体"/>
          <w:sz w:val="24"/>
        </w:rPr>
        <w:t xml:space="preserve">    投标人代表姓名、职务（印刷体）：</w:t>
      </w:r>
    </w:p>
    <w:p>
      <w:pPr>
        <w:spacing w:line="360" w:lineRule="auto"/>
        <w:ind w:firstLine="480" w:firstLineChars="200"/>
        <w:rPr>
          <w:rFonts w:ascii="宋体" w:hAnsi="宋体"/>
          <w:sz w:val="24"/>
          <w:u w:val="single"/>
        </w:rPr>
      </w:pPr>
      <w:r>
        <w:rPr>
          <w:rFonts w:hint="eastAsia" w:ascii="宋体" w:hAnsi="宋体"/>
          <w:sz w:val="24"/>
        </w:rPr>
        <w:t xml:space="preserve">    投标人名称：</w:t>
      </w:r>
    </w:p>
    <w:p>
      <w:pPr>
        <w:spacing w:line="360" w:lineRule="auto"/>
        <w:ind w:firstLine="480" w:firstLineChars="200"/>
        <w:rPr>
          <w:rFonts w:ascii="宋体" w:hAnsi="宋体"/>
          <w:sz w:val="24"/>
          <w:u w:val="single"/>
        </w:rPr>
      </w:pPr>
      <w:r>
        <w:rPr>
          <w:rFonts w:hint="eastAsia" w:ascii="宋体" w:hAnsi="宋体"/>
          <w:sz w:val="24"/>
        </w:rPr>
        <w:t xml:space="preserve">   （公    章）：</w:t>
      </w:r>
    </w:p>
    <w:p>
      <w:pPr>
        <w:spacing w:line="360" w:lineRule="auto"/>
        <w:ind w:firstLine="480" w:firstLineChars="200"/>
        <w:rPr>
          <w:rFonts w:ascii="宋体" w:hAnsi="宋体"/>
          <w:sz w:val="24"/>
        </w:rPr>
      </w:pPr>
      <w:r>
        <w:rPr>
          <w:rFonts w:hint="eastAsia" w:ascii="宋体" w:hAnsi="宋体"/>
          <w:sz w:val="24"/>
        </w:rPr>
        <w:t xml:space="preserve">    日      期：年月日 </w:t>
      </w:r>
    </w:p>
    <w:p>
      <w:pPr>
        <w:spacing w:line="360" w:lineRule="auto"/>
        <w:ind w:firstLine="480" w:firstLineChars="200"/>
        <w:jc w:val="center"/>
        <w:rPr>
          <w:rFonts w:ascii="宋体" w:hAnsi="宋体"/>
          <w:sz w:val="24"/>
          <w:u w:val="single"/>
        </w:rPr>
      </w:pPr>
      <w:r>
        <w:rPr>
          <w:rFonts w:hint="eastAsia" w:ascii="宋体" w:hAnsi="宋体"/>
          <w:sz w:val="24"/>
        </w:rPr>
        <w:t xml:space="preserve">                       授权代表签字：</w:t>
      </w:r>
    </w:p>
    <w:p>
      <w:pPr>
        <w:spacing w:line="360" w:lineRule="auto"/>
        <w:rPr>
          <w:rFonts w:ascii="宋体" w:hAnsi="宋体"/>
          <w:sz w:val="24"/>
        </w:rPr>
      </w:pPr>
    </w:p>
    <w:p>
      <w:pPr>
        <w:tabs>
          <w:tab w:val="left" w:pos="4140"/>
        </w:tabs>
        <w:spacing w:line="360" w:lineRule="auto"/>
        <w:jc w:val="center"/>
        <w:rPr>
          <w:rFonts w:hint="eastAsia" w:ascii="宋体" w:hAnsi="宋体"/>
          <w:b/>
          <w:bCs/>
          <w:sz w:val="32"/>
        </w:rPr>
      </w:pPr>
    </w:p>
    <w:p>
      <w:pPr>
        <w:tabs>
          <w:tab w:val="left" w:pos="4140"/>
        </w:tabs>
        <w:spacing w:line="360" w:lineRule="auto"/>
        <w:jc w:val="center"/>
        <w:rPr>
          <w:rFonts w:ascii="宋体" w:hAnsi="宋体"/>
          <w:b/>
          <w:bCs/>
          <w:sz w:val="32"/>
        </w:rPr>
      </w:pPr>
      <w:r>
        <w:rPr>
          <w:rFonts w:hint="eastAsia" w:ascii="宋体" w:hAnsi="宋体"/>
          <w:b/>
          <w:bCs/>
          <w:sz w:val="32"/>
        </w:rPr>
        <w:t>投标价格表（格式）</w:t>
      </w:r>
    </w:p>
    <w:p>
      <w:pPr>
        <w:spacing w:line="360" w:lineRule="auto"/>
        <w:ind w:firstLine="480" w:firstLineChars="200"/>
        <w:jc w:val="center"/>
        <w:rPr>
          <w:sz w:val="24"/>
          <w:u w:val="single"/>
        </w:rPr>
      </w:pPr>
      <w:r>
        <w:rPr>
          <w:rFonts w:hint="eastAsia"/>
          <w:sz w:val="24"/>
        </w:rPr>
        <w:t xml:space="preserve">                                      货币单位：</w:t>
      </w:r>
    </w:p>
    <w:tbl>
      <w:tblPr>
        <w:tblStyle w:val="8"/>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880"/>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28" w:type="dxa"/>
            <w:vAlign w:val="center"/>
          </w:tcPr>
          <w:p>
            <w:pPr>
              <w:keepNext w:val="0"/>
              <w:keepLines w:val="0"/>
              <w:suppressLineNumbers w:val="0"/>
              <w:spacing w:before="0" w:beforeAutospacing="0" w:after="0" w:afterAutospacing="0" w:line="360" w:lineRule="auto"/>
              <w:ind w:left="0" w:right="0"/>
              <w:jc w:val="center"/>
              <w:rPr>
                <w:rFonts w:hint="default"/>
                <w:sz w:val="24"/>
              </w:rPr>
            </w:pPr>
            <w:r>
              <w:rPr>
                <w:rFonts w:hint="eastAsia"/>
                <w:sz w:val="24"/>
              </w:rPr>
              <w:t>1</w:t>
            </w:r>
          </w:p>
        </w:tc>
        <w:tc>
          <w:tcPr>
            <w:tcW w:w="2880" w:type="dxa"/>
            <w:vAlign w:val="center"/>
          </w:tcPr>
          <w:p>
            <w:pPr>
              <w:keepNext w:val="0"/>
              <w:keepLines w:val="0"/>
              <w:suppressLineNumbers w:val="0"/>
              <w:spacing w:before="0" w:beforeAutospacing="0" w:after="0" w:afterAutospacing="0" w:line="360" w:lineRule="auto"/>
              <w:ind w:left="0" w:right="0"/>
              <w:rPr>
                <w:rFonts w:hint="default"/>
                <w:sz w:val="24"/>
              </w:rPr>
            </w:pPr>
            <w:r>
              <w:rPr>
                <w:rFonts w:hint="eastAsia"/>
                <w:sz w:val="24"/>
              </w:rPr>
              <w:t>投标货物序号</w:t>
            </w:r>
          </w:p>
        </w:tc>
        <w:tc>
          <w:tcPr>
            <w:tcW w:w="4680" w:type="dxa"/>
            <w:vAlign w:val="center"/>
          </w:tcPr>
          <w:p>
            <w:pPr>
              <w:keepNext w:val="0"/>
              <w:keepLines w:val="0"/>
              <w:suppressLineNumbers w:val="0"/>
              <w:spacing w:before="0" w:beforeAutospacing="0" w:after="0" w:afterAutospacing="0" w:line="360" w:lineRule="auto"/>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28" w:type="dxa"/>
            <w:vAlign w:val="center"/>
          </w:tcPr>
          <w:p>
            <w:pPr>
              <w:keepNext w:val="0"/>
              <w:keepLines w:val="0"/>
              <w:suppressLineNumbers w:val="0"/>
              <w:spacing w:before="0" w:beforeAutospacing="0" w:after="0" w:afterAutospacing="0" w:line="360" w:lineRule="auto"/>
              <w:ind w:left="0" w:right="0"/>
              <w:jc w:val="center"/>
              <w:rPr>
                <w:rFonts w:hint="default"/>
                <w:sz w:val="24"/>
              </w:rPr>
            </w:pPr>
            <w:r>
              <w:rPr>
                <w:rFonts w:hint="eastAsia"/>
                <w:sz w:val="24"/>
              </w:rPr>
              <w:t>2</w:t>
            </w:r>
          </w:p>
        </w:tc>
        <w:tc>
          <w:tcPr>
            <w:tcW w:w="2880" w:type="dxa"/>
            <w:vAlign w:val="center"/>
          </w:tcPr>
          <w:p>
            <w:pPr>
              <w:keepNext w:val="0"/>
              <w:keepLines w:val="0"/>
              <w:suppressLineNumbers w:val="0"/>
              <w:spacing w:before="0" w:beforeAutospacing="0" w:after="0" w:afterAutospacing="0" w:line="360" w:lineRule="auto"/>
              <w:ind w:left="0" w:right="0"/>
              <w:rPr>
                <w:rFonts w:hint="default"/>
                <w:sz w:val="24"/>
              </w:rPr>
            </w:pPr>
            <w:r>
              <w:rPr>
                <w:rFonts w:hint="eastAsia"/>
                <w:sz w:val="24"/>
              </w:rPr>
              <w:t>货物名称</w:t>
            </w:r>
          </w:p>
        </w:tc>
        <w:tc>
          <w:tcPr>
            <w:tcW w:w="4680" w:type="dxa"/>
            <w:vAlign w:val="center"/>
          </w:tcPr>
          <w:p>
            <w:pPr>
              <w:keepNext w:val="0"/>
              <w:keepLines w:val="0"/>
              <w:suppressLineNumbers w:val="0"/>
              <w:spacing w:before="0" w:beforeAutospacing="0" w:after="0" w:afterAutospacing="0" w:line="360" w:lineRule="auto"/>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28" w:type="dxa"/>
            <w:vAlign w:val="center"/>
          </w:tcPr>
          <w:p>
            <w:pPr>
              <w:keepNext w:val="0"/>
              <w:keepLines w:val="0"/>
              <w:suppressLineNumbers w:val="0"/>
              <w:spacing w:before="0" w:beforeAutospacing="0" w:after="0" w:afterAutospacing="0" w:line="360" w:lineRule="auto"/>
              <w:ind w:left="0" w:right="0"/>
              <w:jc w:val="center"/>
              <w:rPr>
                <w:rFonts w:hint="default"/>
                <w:sz w:val="24"/>
              </w:rPr>
            </w:pPr>
            <w:r>
              <w:rPr>
                <w:rFonts w:hint="eastAsia"/>
                <w:sz w:val="24"/>
              </w:rPr>
              <w:t>3</w:t>
            </w:r>
          </w:p>
        </w:tc>
        <w:tc>
          <w:tcPr>
            <w:tcW w:w="2880" w:type="dxa"/>
            <w:vAlign w:val="center"/>
          </w:tcPr>
          <w:p>
            <w:pPr>
              <w:keepNext w:val="0"/>
              <w:keepLines w:val="0"/>
              <w:suppressLineNumbers w:val="0"/>
              <w:spacing w:before="0" w:beforeAutospacing="0" w:after="0" w:afterAutospacing="0" w:line="360" w:lineRule="auto"/>
              <w:ind w:left="0" w:right="0"/>
              <w:rPr>
                <w:rFonts w:hint="default"/>
                <w:sz w:val="24"/>
              </w:rPr>
            </w:pPr>
            <w:r>
              <w:rPr>
                <w:rFonts w:hint="eastAsia"/>
                <w:sz w:val="24"/>
              </w:rPr>
              <w:t>原产地</w:t>
            </w:r>
          </w:p>
        </w:tc>
        <w:tc>
          <w:tcPr>
            <w:tcW w:w="4680" w:type="dxa"/>
            <w:vAlign w:val="center"/>
          </w:tcPr>
          <w:p>
            <w:pPr>
              <w:keepNext w:val="0"/>
              <w:keepLines w:val="0"/>
              <w:suppressLineNumbers w:val="0"/>
              <w:spacing w:before="0" w:beforeAutospacing="0" w:after="0" w:afterAutospacing="0" w:line="360" w:lineRule="auto"/>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28" w:type="dxa"/>
            <w:vAlign w:val="center"/>
          </w:tcPr>
          <w:p>
            <w:pPr>
              <w:keepNext w:val="0"/>
              <w:keepLines w:val="0"/>
              <w:suppressLineNumbers w:val="0"/>
              <w:spacing w:before="0" w:beforeAutospacing="0" w:after="0" w:afterAutospacing="0" w:line="360" w:lineRule="auto"/>
              <w:ind w:left="0" w:right="0"/>
              <w:jc w:val="center"/>
              <w:rPr>
                <w:rFonts w:hint="default"/>
                <w:sz w:val="24"/>
              </w:rPr>
            </w:pPr>
            <w:r>
              <w:rPr>
                <w:rFonts w:hint="eastAsia"/>
                <w:sz w:val="24"/>
              </w:rPr>
              <w:t>4</w:t>
            </w:r>
          </w:p>
        </w:tc>
        <w:tc>
          <w:tcPr>
            <w:tcW w:w="2880" w:type="dxa"/>
            <w:vAlign w:val="center"/>
          </w:tcPr>
          <w:p>
            <w:pPr>
              <w:keepNext w:val="0"/>
              <w:keepLines w:val="0"/>
              <w:suppressLineNumbers w:val="0"/>
              <w:spacing w:before="0" w:beforeAutospacing="0" w:after="0" w:afterAutospacing="0" w:line="360" w:lineRule="auto"/>
              <w:ind w:left="0" w:right="0"/>
              <w:rPr>
                <w:rFonts w:hint="default"/>
                <w:sz w:val="24"/>
              </w:rPr>
            </w:pPr>
            <w:r>
              <w:rPr>
                <w:rFonts w:hint="eastAsia"/>
                <w:sz w:val="24"/>
              </w:rPr>
              <w:t>数量</w:t>
            </w:r>
          </w:p>
        </w:tc>
        <w:tc>
          <w:tcPr>
            <w:tcW w:w="4680" w:type="dxa"/>
            <w:vAlign w:val="center"/>
          </w:tcPr>
          <w:p>
            <w:pPr>
              <w:keepNext w:val="0"/>
              <w:keepLines w:val="0"/>
              <w:suppressLineNumbers w:val="0"/>
              <w:spacing w:before="0" w:beforeAutospacing="0" w:after="0" w:afterAutospacing="0" w:line="360" w:lineRule="auto"/>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28" w:type="dxa"/>
            <w:vAlign w:val="center"/>
          </w:tcPr>
          <w:p>
            <w:pPr>
              <w:keepNext w:val="0"/>
              <w:keepLines w:val="0"/>
              <w:suppressLineNumbers w:val="0"/>
              <w:spacing w:before="0" w:beforeAutospacing="0" w:after="0" w:afterAutospacing="0" w:line="360" w:lineRule="auto"/>
              <w:ind w:left="0" w:right="0"/>
              <w:jc w:val="center"/>
              <w:rPr>
                <w:rFonts w:hint="default"/>
                <w:sz w:val="24"/>
              </w:rPr>
            </w:pPr>
            <w:r>
              <w:rPr>
                <w:rFonts w:hint="eastAsia"/>
                <w:sz w:val="24"/>
              </w:rPr>
              <w:t>5</w:t>
            </w:r>
          </w:p>
        </w:tc>
        <w:tc>
          <w:tcPr>
            <w:tcW w:w="2880" w:type="dxa"/>
            <w:vAlign w:val="center"/>
          </w:tcPr>
          <w:p>
            <w:pPr>
              <w:keepNext w:val="0"/>
              <w:keepLines w:val="0"/>
              <w:suppressLineNumbers w:val="0"/>
              <w:spacing w:before="0" w:beforeAutospacing="0" w:after="0" w:afterAutospacing="0" w:line="360" w:lineRule="auto"/>
              <w:ind w:left="0" w:right="0"/>
              <w:rPr>
                <w:rFonts w:hint="default"/>
                <w:sz w:val="24"/>
              </w:rPr>
            </w:pPr>
            <w:r>
              <w:rPr>
                <w:rFonts w:hint="eastAsia"/>
                <w:sz w:val="24"/>
              </w:rPr>
              <w:t>主机和标准附件单价</w:t>
            </w:r>
          </w:p>
        </w:tc>
        <w:tc>
          <w:tcPr>
            <w:tcW w:w="4680" w:type="dxa"/>
            <w:vAlign w:val="center"/>
          </w:tcPr>
          <w:p>
            <w:pPr>
              <w:keepNext w:val="0"/>
              <w:keepLines w:val="0"/>
              <w:suppressLineNumbers w:val="0"/>
              <w:spacing w:before="0" w:beforeAutospacing="0" w:after="0" w:afterAutospacing="0" w:line="360" w:lineRule="auto"/>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28" w:type="dxa"/>
            <w:vAlign w:val="center"/>
          </w:tcPr>
          <w:p>
            <w:pPr>
              <w:keepNext w:val="0"/>
              <w:keepLines w:val="0"/>
              <w:suppressLineNumbers w:val="0"/>
              <w:spacing w:before="0" w:beforeAutospacing="0" w:after="0" w:afterAutospacing="0" w:line="360" w:lineRule="auto"/>
              <w:ind w:left="0" w:right="0"/>
              <w:jc w:val="center"/>
              <w:rPr>
                <w:rFonts w:hint="default"/>
                <w:sz w:val="24"/>
              </w:rPr>
            </w:pPr>
            <w:r>
              <w:rPr>
                <w:rFonts w:hint="eastAsia"/>
                <w:sz w:val="24"/>
              </w:rPr>
              <w:t>6</w:t>
            </w:r>
          </w:p>
        </w:tc>
        <w:tc>
          <w:tcPr>
            <w:tcW w:w="2880" w:type="dxa"/>
            <w:vAlign w:val="center"/>
          </w:tcPr>
          <w:p>
            <w:pPr>
              <w:keepNext w:val="0"/>
              <w:keepLines w:val="0"/>
              <w:suppressLineNumbers w:val="0"/>
              <w:spacing w:before="0" w:beforeAutospacing="0" w:after="0" w:afterAutospacing="0" w:line="360" w:lineRule="auto"/>
              <w:ind w:left="0" w:right="0"/>
              <w:rPr>
                <w:rFonts w:hint="default"/>
                <w:sz w:val="24"/>
              </w:rPr>
            </w:pPr>
            <w:r>
              <w:rPr>
                <w:rFonts w:hint="eastAsia"/>
                <w:sz w:val="24"/>
              </w:rPr>
              <w:t>备品备件价</w:t>
            </w:r>
          </w:p>
        </w:tc>
        <w:tc>
          <w:tcPr>
            <w:tcW w:w="4680" w:type="dxa"/>
            <w:vAlign w:val="center"/>
          </w:tcPr>
          <w:p>
            <w:pPr>
              <w:keepNext w:val="0"/>
              <w:keepLines w:val="0"/>
              <w:suppressLineNumbers w:val="0"/>
              <w:spacing w:before="0" w:beforeAutospacing="0" w:after="0" w:afterAutospacing="0" w:line="360" w:lineRule="auto"/>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28" w:type="dxa"/>
            <w:vAlign w:val="center"/>
          </w:tcPr>
          <w:p>
            <w:pPr>
              <w:keepNext w:val="0"/>
              <w:keepLines w:val="0"/>
              <w:suppressLineNumbers w:val="0"/>
              <w:spacing w:before="0" w:beforeAutospacing="0" w:after="0" w:afterAutospacing="0" w:line="360" w:lineRule="auto"/>
              <w:ind w:left="0" w:right="0"/>
              <w:jc w:val="center"/>
              <w:rPr>
                <w:rFonts w:hint="default"/>
                <w:sz w:val="24"/>
              </w:rPr>
            </w:pPr>
            <w:r>
              <w:rPr>
                <w:rFonts w:hint="eastAsia"/>
                <w:sz w:val="24"/>
              </w:rPr>
              <w:t>7</w:t>
            </w:r>
          </w:p>
        </w:tc>
        <w:tc>
          <w:tcPr>
            <w:tcW w:w="2880" w:type="dxa"/>
            <w:vAlign w:val="center"/>
          </w:tcPr>
          <w:p>
            <w:pPr>
              <w:keepNext w:val="0"/>
              <w:keepLines w:val="0"/>
              <w:suppressLineNumbers w:val="0"/>
              <w:spacing w:before="0" w:beforeAutospacing="0" w:after="0" w:afterAutospacing="0" w:line="360" w:lineRule="auto"/>
              <w:ind w:left="0" w:right="0"/>
              <w:rPr>
                <w:rFonts w:hint="default"/>
                <w:sz w:val="24"/>
              </w:rPr>
            </w:pPr>
            <w:r>
              <w:rPr>
                <w:rFonts w:hint="eastAsia"/>
                <w:sz w:val="24"/>
              </w:rPr>
              <w:t>易损件价</w:t>
            </w:r>
          </w:p>
        </w:tc>
        <w:tc>
          <w:tcPr>
            <w:tcW w:w="4680" w:type="dxa"/>
            <w:vAlign w:val="center"/>
          </w:tcPr>
          <w:p>
            <w:pPr>
              <w:keepNext w:val="0"/>
              <w:keepLines w:val="0"/>
              <w:suppressLineNumbers w:val="0"/>
              <w:spacing w:before="0" w:beforeAutospacing="0" w:after="0" w:afterAutospacing="0" w:line="360" w:lineRule="auto"/>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28" w:type="dxa"/>
            <w:vAlign w:val="center"/>
          </w:tcPr>
          <w:p>
            <w:pPr>
              <w:keepNext w:val="0"/>
              <w:keepLines w:val="0"/>
              <w:suppressLineNumbers w:val="0"/>
              <w:spacing w:before="0" w:beforeAutospacing="0" w:after="0" w:afterAutospacing="0" w:line="360" w:lineRule="auto"/>
              <w:ind w:left="0" w:right="0"/>
              <w:jc w:val="center"/>
              <w:rPr>
                <w:rFonts w:hint="default"/>
                <w:sz w:val="24"/>
              </w:rPr>
            </w:pPr>
            <w:r>
              <w:rPr>
                <w:rFonts w:hint="eastAsia"/>
                <w:sz w:val="24"/>
              </w:rPr>
              <w:t>8</w:t>
            </w:r>
          </w:p>
        </w:tc>
        <w:tc>
          <w:tcPr>
            <w:tcW w:w="2880" w:type="dxa"/>
            <w:vAlign w:val="center"/>
          </w:tcPr>
          <w:p>
            <w:pPr>
              <w:keepNext w:val="0"/>
              <w:keepLines w:val="0"/>
              <w:suppressLineNumbers w:val="0"/>
              <w:spacing w:before="0" w:beforeAutospacing="0" w:after="0" w:afterAutospacing="0" w:line="360" w:lineRule="auto"/>
              <w:ind w:left="0" w:right="0"/>
              <w:rPr>
                <w:rFonts w:hint="default"/>
                <w:sz w:val="24"/>
              </w:rPr>
            </w:pPr>
            <w:r>
              <w:rPr>
                <w:rFonts w:hint="eastAsia"/>
                <w:sz w:val="24"/>
              </w:rPr>
              <w:t>专用工具价</w:t>
            </w:r>
          </w:p>
        </w:tc>
        <w:tc>
          <w:tcPr>
            <w:tcW w:w="4680" w:type="dxa"/>
            <w:vAlign w:val="center"/>
          </w:tcPr>
          <w:p>
            <w:pPr>
              <w:keepNext w:val="0"/>
              <w:keepLines w:val="0"/>
              <w:suppressLineNumbers w:val="0"/>
              <w:spacing w:before="0" w:beforeAutospacing="0" w:after="0" w:afterAutospacing="0" w:line="360" w:lineRule="auto"/>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28" w:type="dxa"/>
            <w:vAlign w:val="center"/>
          </w:tcPr>
          <w:p>
            <w:pPr>
              <w:keepNext w:val="0"/>
              <w:keepLines w:val="0"/>
              <w:suppressLineNumbers w:val="0"/>
              <w:spacing w:before="0" w:beforeAutospacing="0" w:after="0" w:afterAutospacing="0" w:line="360" w:lineRule="auto"/>
              <w:ind w:left="0" w:right="0"/>
              <w:jc w:val="center"/>
              <w:rPr>
                <w:rFonts w:hint="default"/>
                <w:sz w:val="24"/>
              </w:rPr>
            </w:pPr>
            <w:r>
              <w:rPr>
                <w:rFonts w:hint="eastAsia"/>
                <w:sz w:val="24"/>
              </w:rPr>
              <w:t>9</w:t>
            </w:r>
          </w:p>
        </w:tc>
        <w:tc>
          <w:tcPr>
            <w:tcW w:w="2880" w:type="dxa"/>
            <w:vAlign w:val="center"/>
          </w:tcPr>
          <w:p>
            <w:pPr>
              <w:keepNext w:val="0"/>
              <w:keepLines w:val="0"/>
              <w:suppressLineNumbers w:val="0"/>
              <w:spacing w:before="0" w:beforeAutospacing="0" w:after="0" w:afterAutospacing="0" w:line="360" w:lineRule="auto"/>
              <w:ind w:left="0" w:right="0"/>
              <w:rPr>
                <w:rFonts w:hint="default"/>
                <w:sz w:val="24"/>
              </w:rPr>
            </w:pPr>
            <w:r>
              <w:rPr>
                <w:rFonts w:hint="eastAsia"/>
                <w:sz w:val="24"/>
              </w:rPr>
              <w:t>技术服务价</w:t>
            </w:r>
          </w:p>
        </w:tc>
        <w:tc>
          <w:tcPr>
            <w:tcW w:w="4680" w:type="dxa"/>
            <w:vAlign w:val="center"/>
          </w:tcPr>
          <w:p>
            <w:pPr>
              <w:keepNext w:val="0"/>
              <w:keepLines w:val="0"/>
              <w:suppressLineNumbers w:val="0"/>
              <w:spacing w:before="0" w:beforeAutospacing="0" w:after="0" w:afterAutospacing="0" w:line="360" w:lineRule="auto"/>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28" w:type="dxa"/>
            <w:vAlign w:val="center"/>
          </w:tcPr>
          <w:p>
            <w:pPr>
              <w:keepNext w:val="0"/>
              <w:keepLines w:val="0"/>
              <w:suppressLineNumbers w:val="0"/>
              <w:spacing w:before="0" w:beforeAutospacing="0" w:after="0" w:afterAutospacing="0" w:line="360" w:lineRule="auto"/>
              <w:ind w:left="0" w:right="0"/>
              <w:jc w:val="center"/>
              <w:rPr>
                <w:rFonts w:hint="default"/>
                <w:sz w:val="24"/>
              </w:rPr>
            </w:pPr>
            <w:r>
              <w:rPr>
                <w:rFonts w:hint="eastAsia"/>
                <w:sz w:val="24"/>
              </w:rPr>
              <w:t>10</w:t>
            </w:r>
          </w:p>
        </w:tc>
        <w:tc>
          <w:tcPr>
            <w:tcW w:w="2880" w:type="dxa"/>
            <w:vAlign w:val="center"/>
          </w:tcPr>
          <w:p>
            <w:pPr>
              <w:keepNext w:val="0"/>
              <w:keepLines w:val="0"/>
              <w:suppressLineNumbers w:val="0"/>
              <w:spacing w:before="0" w:beforeAutospacing="0" w:after="0" w:afterAutospacing="0" w:line="360" w:lineRule="auto"/>
              <w:ind w:left="0" w:right="0"/>
              <w:rPr>
                <w:rFonts w:hint="default"/>
                <w:sz w:val="24"/>
              </w:rPr>
            </w:pPr>
            <w:r>
              <w:rPr>
                <w:rFonts w:hint="eastAsia"/>
                <w:sz w:val="24"/>
              </w:rPr>
              <w:t>安装价（单独报价）</w:t>
            </w:r>
          </w:p>
        </w:tc>
        <w:tc>
          <w:tcPr>
            <w:tcW w:w="4680" w:type="dxa"/>
            <w:vAlign w:val="center"/>
          </w:tcPr>
          <w:p>
            <w:pPr>
              <w:keepNext w:val="0"/>
              <w:keepLines w:val="0"/>
              <w:suppressLineNumbers w:val="0"/>
              <w:spacing w:before="0" w:beforeAutospacing="0" w:after="0" w:afterAutospacing="0" w:line="360" w:lineRule="auto"/>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28" w:type="dxa"/>
            <w:vAlign w:val="center"/>
          </w:tcPr>
          <w:p>
            <w:pPr>
              <w:keepNext w:val="0"/>
              <w:keepLines w:val="0"/>
              <w:suppressLineNumbers w:val="0"/>
              <w:spacing w:before="0" w:beforeAutospacing="0" w:after="0" w:afterAutospacing="0" w:line="360" w:lineRule="auto"/>
              <w:ind w:left="0" w:right="0"/>
              <w:jc w:val="center"/>
              <w:rPr>
                <w:rFonts w:hint="default"/>
                <w:sz w:val="24"/>
              </w:rPr>
            </w:pPr>
            <w:r>
              <w:rPr>
                <w:rFonts w:hint="eastAsia"/>
                <w:sz w:val="24"/>
              </w:rPr>
              <w:t>11</w:t>
            </w:r>
          </w:p>
        </w:tc>
        <w:tc>
          <w:tcPr>
            <w:tcW w:w="2880" w:type="dxa"/>
            <w:vAlign w:val="bottom"/>
          </w:tcPr>
          <w:p>
            <w:pPr>
              <w:keepNext w:val="0"/>
              <w:keepLines w:val="0"/>
              <w:suppressLineNumbers w:val="0"/>
              <w:spacing w:before="0" w:beforeAutospacing="0" w:after="0" w:afterAutospacing="0" w:line="360" w:lineRule="auto"/>
              <w:ind w:left="0" w:right="0"/>
              <w:rPr>
                <w:rFonts w:hint="default"/>
                <w:sz w:val="24"/>
              </w:rPr>
            </w:pPr>
            <w:r>
              <w:rPr>
                <w:rFonts w:hint="eastAsia"/>
                <w:sz w:val="24"/>
              </w:rPr>
              <w:t>检验培训费</w:t>
            </w:r>
          </w:p>
        </w:tc>
        <w:tc>
          <w:tcPr>
            <w:tcW w:w="4680" w:type="dxa"/>
            <w:vAlign w:val="center"/>
          </w:tcPr>
          <w:p>
            <w:pPr>
              <w:keepNext w:val="0"/>
              <w:keepLines w:val="0"/>
              <w:suppressLineNumbers w:val="0"/>
              <w:spacing w:before="0" w:beforeAutospacing="0" w:after="0" w:afterAutospacing="0" w:line="360" w:lineRule="auto"/>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28" w:type="dxa"/>
            <w:vAlign w:val="center"/>
          </w:tcPr>
          <w:p>
            <w:pPr>
              <w:keepNext w:val="0"/>
              <w:keepLines w:val="0"/>
              <w:suppressLineNumbers w:val="0"/>
              <w:spacing w:before="0" w:beforeAutospacing="0" w:after="0" w:afterAutospacing="0" w:line="360" w:lineRule="auto"/>
              <w:ind w:left="0" w:right="0"/>
              <w:jc w:val="center"/>
              <w:rPr>
                <w:rFonts w:hint="default"/>
                <w:sz w:val="24"/>
              </w:rPr>
            </w:pPr>
            <w:r>
              <w:rPr>
                <w:rFonts w:hint="eastAsia"/>
                <w:sz w:val="24"/>
              </w:rPr>
              <w:t>12</w:t>
            </w:r>
          </w:p>
        </w:tc>
        <w:tc>
          <w:tcPr>
            <w:tcW w:w="2880" w:type="dxa"/>
            <w:vAlign w:val="center"/>
          </w:tcPr>
          <w:p>
            <w:pPr>
              <w:keepNext w:val="0"/>
              <w:keepLines w:val="0"/>
              <w:suppressLineNumbers w:val="0"/>
              <w:spacing w:before="0" w:beforeAutospacing="0" w:after="0" w:afterAutospacing="0" w:line="360" w:lineRule="auto"/>
              <w:ind w:left="0" w:right="0"/>
              <w:rPr>
                <w:rFonts w:hint="default"/>
                <w:sz w:val="24"/>
              </w:rPr>
            </w:pPr>
            <w:r>
              <w:rPr>
                <w:rFonts w:hint="eastAsia"/>
                <w:sz w:val="24"/>
              </w:rPr>
              <w:t>运输（至目的地）</w:t>
            </w:r>
          </w:p>
        </w:tc>
        <w:tc>
          <w:tcPr>
            <w:tcW w:w="4680" w:type="dxa"/>
            <w:vAlign w:val="center"/>
          </w:tcPr>
          <w:p>
            <w:pPr>
              <w:keepNext w:val="0"/>
              <w:keepLines w:val="0"/>
              <w:suppressLineNumbers w:val="0"/>
              <w:spacing w:before="0" w:beforeAutospacing="0" w:after="0" w:afterAutospacing="0" w:line="360" w:lineRule="auto"/>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28" w:type="dxa"/>
            <w:vAlign w:val="center"/>
          </w:tcPr>
          <w:p>
            <w:pPr>
              <w:keepNext w:val="0"/>
              <w:keepLines w:val="0"/>
              <w:suppressLineNumbers w:val="0"/>
              <w:spacing w:before="0" w:beforeAutospacing="0" w:after="0" w:afterAutospacing="0" w:line="360" w:lineRule="auto"/>
              <w:ind w:left="0" w:right="0"/>
              <w:jc w:val="center"/>
              <w:rPr>
                <w:rFonts w:hint="default"/>
                <w:sz w:val="24"/>
              </w:rPr>
            </w:pPr>
            <w:r>
              <w:rPr>
                <w:rFonts w:hint="eastAsia"/>
                <w:sz w:val="24"/>
              </w:rPr>
              <w:t>13</w:t>
            </w:r>
          </w:p>
        </w:tc>
        <w:tc>
          <w:tcPr>
            <w:tcW w:w="2880" w:type="dxa"/>
            <w:vAlign w:val="center"/>
          </w:tcPr>
          <w:p>
            <w:pPr>
              <w:keepNext w:val="0"/>
              <w:keepLines w:val="0"/>
              <w:suppressLineNumbers w:val="0"/>
              <w:spacing w:before="0" w:beforeAutospacing="0" w:after="0" w:afterAutospacing="0" w:line="360" w:lineRule="auto"/>
              <w:ind w:left="0" w:right="0"/>
              <w:rPr>
                <w:rFonts w:hint="default"/>
                <w:sz w:val="24"/>
              </w:rPr>
            </w:pPr>
            <w:r>
              <w:rPr>
                <w:rFonts w:hint="eastAsia"/>
                <w:sz w:val="24"/>
              </w:rPr>
              <w:t>保险</w:t>
            </w:r>
          </w:p>
        </w:tc>
        <w:tc>
          <w:tcPr>
            <w:tcW w:w="4680" w:type="dxa"/>
            <w:vAlign w:val="center"/>
          </w:tcPr>
          <w:p>
            <w:pPr>
              <w:keepNext w:val="0"/>
              <w:keepLines w:val="0"/>
              <w:suppressLineNumbers w:val="0"/>
              <w:spacing w:before="0" w:beforeAutospacing="0" w:after="0" w:afterAutospacing="0" w:line="360" w:lineRule="auto"/>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28" w:type="dxa"/>
            <w:vAlign w:val="center"/>
          </w:tcPr>
          <w:p>
            <w:pPr>
              <w:keepNext w:val="0"/>
              <w:keepLines w:val="0"/>
              <w:suppressLineNumbers w:val="0"/>
              <w:spacing w:before="0" w:beforeAutospacing="0" w:after="0" w:afterAutospacing="0" w:line="360" w:lineRule="auto"/>
              <w:ind w:left="0" w:right="0"/>
              <w:jc w:val="center"/>
              <w:rPr>
                <w:rFonts w:hint="default"/>
                <w:sz w:val="24"/>
              </w:rPr>
            </w:pPr>
            <w:r>
              <w:rPr>
                <w:rFonts w:hint="eastAsia"/>
                <w:sz w:val="24"/>
              </w:rPr>
              <w:t>14</w:t>
            </w:r>
          </w:p>
        </w:tc>
        <w:tc>
          <w:tcPr>
            <w:tcW w:w="2880" w:type="dxa"/>
            <w:vAlign w:val="center"/>
          </w:tcPr>
          <w:p>
            <w:pPr>
              <w:keepNext w:val="0"/>
              <w:keepLines w:val="0"/>
              <w:suppressLineNumbers w:val="0"/>
              <w:spacing w:before="0" w:beforeAutospacing="0" w:after="0" w:afterAutospacing="0" w:line="360" w:lineRule="auto"/>
              <w:ind w:left="0" w:right="0"/>
              <w:rPr>
                <w:rFonts w:hint="default"/>
                <w:sz w:val="24"/>
              </w:rPr>
            </w:pPr>
            <w:r>
              <w:rPr>
                <w:rFonts w:hint="eastAsia"/>
                <w:sz w:val="24"/>
              </w:rPr>
              <w:t>其它</w:t>
            </w:r>
          </w:p>
        </w:tc>
        <w:tc>
          <w:tcPr>
            <w:tcW w:w="4680" w:type="dxa"/>
            <w:vAlign w:val="center"/>
          </w:tcPr>
          <w:p>
            <w:pPr>
              <w:keepNext w:val="0"/>
              <w:keepLines w:val="0"/>
              <w:suppressLineNumbers w:val="0"/>
              <w:spacing w:before="0" w:beforeAutospacing="0" w:after="0" w:afterAutospacing="0" w:line="360" w:lineRule="auto"/>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28" w:type="dxa"/>
            <w:vAlign w:val="center"/>
          </w:tcPr>
          <w:p>
            <w:pPr>
              <w:keepNext w:val="0"/>
              <w:keepLines w:val="0"/>
              <w:suppressLineNumbers w:val="0"/>
              <w:spacing w:before="0" w:beforeAutospacing="0" w:after="0" w:afterAutospacing="0" w:line="360" w:lineRule="auto"/>
              <w:ind w:left="0" w:right="0"/>
              <w:jc w:val="center"/>
              <w:rPr>
                <w:rFonts w:hint="default"/>
                <w:sz w:val="24"/>
              </w:rPr>
            </w:pPr>
            <w:r>
              <w:rPr>
                <w:rFonts w:hint="eastAsia"/>
                <w:sz w:val="24"/>
              </w:rPr>
              <w:t>15</w:t>
            </w:r>
          </w:p>
        </w:tc>
        <w:tc>
          <w:tcPr>
            <w:tcW w:w="2880" w:type="dxa"/>
            <w:vAlign w:val="center"/>
          </w:tcPr>
          <w:p>
            <w:pPr>
              <w:keepNext w:val="0"/>
              <w:keepLines w:val="0"/>
              <w:suppressLineNumbers w:val="0"/>
              <w:spacing w:before="0" w:beforeAutospacing="0" w:after="0" w:afterAutospacing="0" w:line="360" w:lineRule="auto"/>
              <w:ind w:left="0" w:right="0"/>
              <w:rPr>
                <w:rFonts w:hint="default"/>
                <w:sz w:val="24"/>
              </w:rPr>
            </w:pPr>
            <w:r>
              <w:rPr>
                <w:rFonts w:hint="eastAsia"/>
                <w:sz w:val="24"/>
              </w:rPr>
              <w:t>投标总价</w:t>
            </w:r>
          </w:p>
        </w:tc>
        <w:tc>
          <w:tcPr>
            <w:tcW w:w="4680" w:type="dxa"/>
            <w:vAlign w:val="center"/>
          </w:tcPr>
          <w:p>
            <w:pPr>
              <w:keepNext w:val="0"/>
              <w:keepLines w:val="0"/>
              <w:suppressLineNumbers w:val="0"/>
              <w:spacing w:before="0" w:beforeAutospacing="0" w:after="0" w:afterAutospacing="0" w:line="360" w:lineRule="auto"/>
              <w:ind w:left="0" w:right="0"/>
              <w:jc w:val="center"/>
              <w:rPr>
                <w:rFonts w:hint="default"/>
                <w:sz w:val="24"/>
              </w:rPr>
            </w:pPr>
          </w:p>
        </w:tc>
      </w:tr>
    </w:tbl>
    <w:p>
      <w:pPr>
        <w:spacing w:line="360" w:lineRule="auto"/>
        <w:rPr>
          <w:sz w:val="24"/>
        </w:rPr>
      </w:pPr>
    </w:p>
    <w:p>
      <w:pPr>
        <w:spacing w:line="360" w:lineRule="auto"/>
        <w:rPr>
          <w:sz w:val="24"/>
        </w:rPr>
      </w:pPr>
    </w:p>
    <w:p>
      <w:pPr>
        <w:spacing w:line="360" w:lineRule="auto"/>
        <w:rPr>
          <w:sz w:val="24"/>
        </w:rPr>
      </w:pPr>
      <w:r>
        <w:rPr>
          <w:rFonts w:hint="eastAsia"/>
          <w:sz w:val="24"/>
        </w:rPr>
        <w:t>投标人代表签字:    日期：</w:t>
      </w:r>
    </w:p>
    <w:p>
      <w:pPr>
        <w:spacing w:line="360" w:lineRule="auto"/>
        <w:ind w:firstLine="600"/>
        <w:rPr>
          <w:sz w:val="24"/>
        </w:rPr>
      </w:pPr>
    </w:p>
    <w:p>
      <w:pPr>
        <w:spacing w:line="360" w:lineRule="auto"/>
        <w:ind w:firstLine="600"/>
        <w:rPr>
          <w:sz w:val="24"/>
        </w:rPr>
      </w:pPr>
    </w:p>
    <w:p>
      <w:pPr>
        <w:spacing w:line="360" w:lineRule="auto"/>
        <w:ind w:firstLine="600"/>
        <w:rPr>
          <w:sz w:val="24"/>
        </w:rPr>
      </w:pPr>
    </w:p>
    <w:p>
      <w:pPr>
        <w:spacing w:line="360" w:lineRule="auto"/>
        <w:ind w:firstLine="600"/>
        <w:rPr>
          <w:sz w:val="24"/>
        </w:rPr>
      </w:pPr>
    </w:p>
    <w:p>
      <w:pPr>
        <w:spacing w:line="360" w:lineRule="auto"/>
        <w:ind w:firstLine="600"/>
        <w:rPr>
          <w:sz w:val="24"/>
        </w:rPr>
      </w:pPr>
    </w:p>
    <w:p>
      <w:pPr>
        <w:spacing w:line="360" w:lineRule="auto"/>
        <w:ind w:firstLine="600"/>
        <w:rPr>
          <w:sz w:val="24"/>
        </w:rPr>
      </w:pPr>
    </w:p>
    <w:p>
      <w:pPr>
        <w:spacing w:line="360" w:lineRule="auto"/>
        <w:ind w:firstLine="600"/>
        <w:rPr>
          <w:sz w:val="24"/>
        </w:rPr>
      </w:pPr>
    </w:p>
    <w:p>
      <w:pPr>
        <w:spacing w:line="360" w:lineRule="auto"/>
        <w:rPr>
          <w:sz w:val="24"/>
        </w:rPr>
        <w:sectPr>
          <w:pgSz w:w="11906" w:h="16838"/>
          <w:pgMar w:top="1440" w:right="1800" w:bottom="1440" w:left="1800" w:header="851" w:footer="992" w:gutter="0"/>
          <w:cols w:space="720" w:num="1"/>
          <w:docGrid w:type="lines" w:linePitch="312" w:charSpace="0"/>
        </w:sectPr>
      </w:pPr>
    </w:p>
    <w:p>
      <w:pPr>
        <w:tabs>
          <w:tab w:val="left" w:pos="4140"/>
        </w:tabs>
        <w:spacing w:line="360" w:lineRule="auto"/>
        <w:jc w:val="center"/>
        <w:rPr>
          <w:rFonts w:ascii="宋体" w:hAnsi="宋体"/>
          <w:b/>
          <w:bCs/>
          <w:sz w:val="32"/>
        </w:rPr>
      </w:pPr>
      <w:r>
        <w:rPr>
          <w:rFonts w:hint="eastAsia" w:ascii="宋体" w:hAnsi="宋体"/>
          <w:b/>
          <w:bCs/>
          <w:sz w:val="32"/>
        </w:rPr>
        <w:t>商务、技术参数偏离表（格式）</w:t>
      </w:r>
    </w:p>
    <w:p>
      <w:pPr>
        <w:tabs>
          <w:tab w:val="left" w:pos="4140"/>
        </w:tabs>
        <w:spacing w:line="360" w:lineRule="auto"/>
        <w:jc w:val="center"/>
        <w:rPr>
          <w:rFonts w:ascii="宋体" w:hAnsi="宋体"/>
          <w:b/>
          <w:bCs/>
          <w:sz w:val="15"/>
        </w:rPr>
      </w:pPr>
    </w:p>
    <w:tbl>
      <w:tblPr>
        <w:tblStyle w:val="8"/>
        <w:tblW w:w="12987" w:type="dxa"/>
        <w:tblInd w:w="93" w:type="dxa"/>
        <w:tblLayout w:type="fixed"/>
        <w:tblCellMar>
          <w:top w:w="15" w:type="dxa"/>
          <w:left w:w="15" w:type="dxa"/>
          <w:bottom w:w="15" w:type="dxa"/>
          <w:right w:w="15" w:type="dxa"/>
        </w:tblCellMar>
      </w:tblPr>
      <w:tblGrid>
        <w:gridCol w:w="5451"/>
        <w:gridCol w:w="5125"/>
        <w:gridCol w:w="2411"/>
      </w:tblGrid>
      <w:tr>
        <w:tblPrEx>
          <w:tblCellMar>
            <w:top w:w="15" w:type="dxa"/>
            <w:left w:w="15" w:type="dxa"/>
            <w:bottom w:w="15" w:type="dxa"/>
            <w:right w:w="15" w:type="dxa"/>
          </w:tblCellMar>
        </w:tblPrEx>
        <w:trPr>
          <w:trHeight w:val="990" w:hRule="atLeast"/>
        </w:trPr>
        <w:tc>
          <w:tcPr>
            <w:tcW w:w="5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22"/>
                <w:szCs w:val="22"/>
              </w:rPr>
            </w:pPr>
            <w:r>
              <w:rPr>
                <w:rFonts w:hint="eastAsia" w:ascii="宋体" w:hAnsi="宋体" w:cs="宋体"/>
                <w:color w:val="000000"/>
                <w:kern w:val="0"/>
                <w:sz w:val="22"/>
                <w:szCs w:val="22"/>
              </w:rPr>
              <w:t>招标文件条款</w:t>
            </w:r>
          </w:p>
        </w:tc>
        <w:tc>
          <w:tcPr>
            <w:tcW w:w="51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olor w:val="000000"/>
                <w:sz w:val="22"/>
                <w:szCs w:val="22"/>
              </w:rPr>
            </w:pPr>
            <w:r>
              <w:rPr>
                <w:rFonts w:hint="eastAsia" w:ascii="宋体" w:hAnsi="宋体" w:cs="宋体"/>
                <w:color w:val="000000"/>
                <w:kern w:val="0"/>
                <w:sz w:val="22"/>
                <w:szCs w:val="22"/>
              </w:rPr>
              <w:t>投标文件对标情况及条款号（请逐项填写）</w:t>
            </w:r>
          </w:p>
        </w:tc>
        <w:tc>
          <w:tcPr>
            <w:tcW w:w="2411" w:type="dxa"/>
            <w:tcBorders>
              <w:top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textAlignment w:val="center"/>
              <w:rPr>
                <w:rFonts w:hint="default" w:ascii="宋体" w:hAnsi="宋体"/>
                <w:color w:val="000000"/>
                <w:kern w:val="0"/>
                <w:sz w:val="22"/>
                <w:szCs w:val="22"/>
              </w:rPr>
            </w:pPr>
            <w:r>
              <w:rPr>
                <w:rFonts w:hint="eastAsia" w:ascii="宋体" w:hAnsi="宋体"/>
                <w:color w:val="000000"/>
                <w:kern w:val="0"/>
                <w:sz w:val="22"/>
                <w:szCs w:val="22"/>
              </w:rPr>
              <w:t>偏差说明</w:t>
            </w:r>
            <w:r>
              <w:rPr>
                <w:rFonts w:hint="eastAsia" w:ascii="宋体" w:hAnsi="宋体" w:cs="宋体"/>
                <w:color w:val="000000"/>
                <w:kern w:val="0"/>
                <w:sz w:val="22"/>
                <w:szCs w:val="22"/>
              </w:rPr>
              <w:t>（正偏离、负偏离、无偏离或其他情况叙述）</w:t>
            </w:r>
          </w:p>
        </w:tc>
      </w:tr>
      <w:tr>
        <w:tblPrEx>
          <w:tblCellMar>
            <w:top w:w="15" w:type="dxa"/>
            <w:left w:w="15" w:type="dxa"/>
            <w:bottom w:w="15" w:type="dxa"/>
            <w:right w:w="15" w:type="dxa"/>
          </w:tblCellMar>
        </w:tblPrEx>
        <w:trPr>
          <w:trHeight w:val="615" w:hRule="atLeast"/>
        </w:trPr>
        <w:tc>
          <w:tcPr>
            <w:tcW w:w="5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80" w:firstLineChars="200"/>
              <w:textAlignment w:val="center"/>
              <w:rPr>
                <w:rFonts w:hint="default"/>
                <w:color w:val="000000"/>
                <w:sz w:val="24"/>
              </w:rPr>
            </w:pPr>
          </w:p>
        </w:tc>
        <w:tc>
          <w:tcPr>
            <w:tcW w:w="51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olor w:val="000000"/>
                <w:sz w:val="22"/>
                <w:szCs w:val="22"/>
              </w:rPr>
            </w:pPr>
          </w:p>
        </w:tc>
        <w:tc>
          <w:tcPr>
            <w:tcW w:w="2411" w:type="dxa"/>
            <w:tcBorders>
              <w:top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ascii="宋体" w:hAnsi="宋体"/>
                <w:color w:val="000000"/>
                <w:sz w:val="22"/>
                <w:szCs w:val="22"/>
              </w:rPr>
            </w:pPr>
          </w:p>
        </w:tc>
      </w:tr>
      <w:tr>
        <w:tblPrEx>
          <w:tblCellMar>
            <w:top w:w="15" w:type="dxa"/>
            <w:left w:w="15" w:type="dxa"/>
            <w:bottom w:w="15" w:type="dxa"/>
            <w:right w:w="15" w:type="dxa"/>
          </w:tblCellMar>
        </w:tblPrEx>
        <w:trPr>
          <w:trHeight w:val="615" w:hRule="atLeast"/>
        </w:trPr>
        <w:tc>
          <w:tcPr>
            <w:tcW w:w="5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80" w:firstLineChars="200"/>
              <w:textAlignment w:val="center"/>
              <w:rPr>
                <w:rFonts w:hint="default"/>
                <w:color w:val="000000"/>
                <w:sz w:val="24"/>
              </w:rPr>
            </w:pPr>
          </w:p>
        </w:tc>
        <w:tc>
          <w:tcPr>
            <w:tcW w:w="51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olor w:val="000000"/>
                <w:sz w:val="22"/>
                <w:szCs w:val="22"/>
              </w:rPr>
            </w:pPr>
          </w:p>
        </w:tc>
        <w:tc>
          <w:tcPr>
            <w:tcW w:w="2411" w:type="dxa"/>
            <w:tcBorders>
              <w:top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ascii="宋体" w:hAnsi="宋体"/>
                <w:color w:val="000000"/>
                <w:sz w:val="22"/>
                <w:szCs w:val="22"/>
              </w:rPr>
            </w:pPr>
          </w:p>
        </w:tc>
      </w:tr>
      <w:tr>
        <w:tblPrEx>
          <w:tblCellMar>
            <w:top w:w="15" w:type="dxa"/>
            <w:left w:w="15" w:type="dxa"/>
            <w:bottom w:w="15" w:type="dxa"/>
            <w:right w:w="15" w:type="dxa"/>
          </w:tblCellMar>
        </w:tblPrEx>
        <w:trPr>
          <w:trHeight w:val="615" w:hRule="atLeast"/>
        </w:trPr>
        <w:tc>
          <w:tcPr>
            <w:tcW w:w="5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80" w:firstLineChars="200"/>
              <w:textAlignment w:val="center"/>
              <w:rPr>
                <w:rFonts w:hint="default"/>
                <w:color w:val="000000"/>
                <w:sz w:val="24"/>
              </w:rPr>
            </w:pPr>
          </w:p>
        </w:tc>
        <w:tc>
          <w:tcPr>
            <w:tcW w:w="51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olor w:val="000000"/>
                <w:sz w:val="22"/>
                <w:szCs w:val="22"/>
              </w:rPr>
            </w:pPr>
          </w:p>
        </w:tc>
        <w:tc>
          <w:tcPr>
            <w:tcW w:w="2411" w:type="dxa"/>
            <w:tcBorders>
              <w:top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ascii="宋体" w:hAnsi="宋体"/>
                <w:color w:val="000000"/>
                <w:sz w:val="22"/>
                <w:szCs w:val="22"/>
              </w:rPr>
            </w:pPr>
          </w:p>
        </w:tc>
      </w:tr>
      <w:tr>
        <w:tblPrEx>
          <w:tblCellMar>
            <w:top w:w="15" w:type="dxa"/>
            <w:left w:w="15" w:type="dxa"/>
            <w:bottom w:w="15" w:type="dxa"/>
            <w:right w:w="15" w:type="dxa"/>
          </w:tblCellMar>
        </w:tblPrEx>
        <w:trPr>
          <w:trHeight w:val="615" w:hRule="atLeast"/>
        </w:trPr>
        <w:tc>
          <w:tcPr>
            <w:tcW w:w="5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80" w:firstLineChars="200"/>
              <w:textAlignment w:val="center"/>
              <w:rPr>
                <w:rFonts w:hint="default"/>
                <w:color w:val="000000"/>
                <w:sz w:val="24"/>
              </w:rPr>
            </w:pPr>
          </w:p>
        </w:tc>
        <w:tc>
          <w:tcPr>
            <w:tcW w:w="51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olor w:val="000000"/>
                <w:sz w:val="22"/>
                <w:szCs w:val="22"/>
              </w:rPr>
            </w:pPr>
          </w:p>
        </w:tc>
        <w:tc>
          <w:tcPr>
            <w:tcW w:w="2411" w:type="dxa"/>
            <w:tcBorders>
              <w:top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ascii="宋体" w:hAnsi="宋体"/>
                <w:color w:val="000000"/>
                <w:sz w:val="22"/>
                <w:szCs w:val="22"/>
              </w:rPr>
            </w:pPr>
          </w:p>
        </w:tc>
      </w:tr>
      <w:tr>
        <w:tblPrEx>
          <w:tblCellMar>
            <w:top w:w="15" w:type="dxa"/>
            <w:left w:w="15" w:type="dxa"/>
            <w:bottom w:w="15" w:type="dxa"/>
            <w:right w:w="15" w:type="dxa"/>
          </w:tblCellMar>
        </w:tblPrEx>
        <w:trPr>
          <w:trHeight w:val="615" w:hRule="atLeast"/>
        </w:trPr>
        <w:tc>
          <w:tcPr>
            <w:tcW w:w="5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80" w:firstLineChars="200"/>
              <w:textAlignment w:val="center"/>
              <w:rPr>
                <w:rFonts w:hint="default"/>
                <w:color w:val="000000"/>
                <w:sz w:val="24"/>
              </w:rPr>
            </w:pPr>
          </w:p>
        </w:tc>
        <w:tc>
          <w:tcPr>
            <w:tcW w:w="51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olor w:val="000000"/>
                <w:sz w:val="22"/>
                <w:szCs w:val="22"/>
              </w:rPr>
            </w:pPr>
          </w:p>
        </w:tc>
        <w:tc>
          <w:tcPr>
            <w:tcW w:w="2411" w:type="dxa"/>
            <w:tcBorders>
              <w:top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ascii="宋体" w:hAnsi="宋体"/>
                <w:color w:val="000000"/>
                <w:sz w:val="22"/>
                <w:szCs w:val="22"/>
              </w:rPr>
            </w:pPr>
          </w:p>
        </w:tc>
      </w:tr>
      <w:tr>
        <w:tblPrEx>
          <w:tblCellMar>
            <w:top w:w="15" w:type="dxa"/>
            <w:left w:w="15" w:type="dxa"/>
            <w:bottom w:w="15" w:type="dxa"/>
            <w:right w:w="15" w:type="dxa"/>
          </w:tblCellMar>
        </w:tblPrEx>
        <w:trPr>
          <w:trHeight w:val="615" w:hRule="atLeast"/>
        </w:trPr>
        <w:tc>
          <w:tcPr>
            <w:tcW w:w="5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80" w:firstLineChars="200"/>
              <w:textAlignment w:val="center"/>
              <w:rPr>
                <w:rFonts w:hint="default"/>
                <w:color w:val="000000"/>
                <w:sz w:val="24"/>
              </w:rPr>
            </w:pPr>
          </w:p>
        </w:tc>
        <w:tc>
          <w:tcPr>
            <w:tcW w:w="51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olor w:val="000000"/>
                <w:sz w:val="22"/>
                <w:szCs w:val="22"/>
              </w:rPr>
            </w:pPr>
          </w:p>
        </w:tc>
        <w:tc>
          <w:tcPr>
            <w:tcW w:w="2411" w:type="dxa"/>
            <w:tcBorders>
              <w:top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ascii="宋体" w:hAnsi="宋体"/>
                <w:color w:val="000000"/>
                <w:sz w:val="22"/>
                <w:szCs w:val="22"/>
              </w:rPr>
            </w:pPr>
          </w:p>
        </w:tc>
      </w:tr>
      <w:tr>
        <w:tblPrEx>
          <w:tblCellMar>
            <w:top w:w="15" w:type="dxa"/>
            <w:left w:w="15" w:type="dxa"/>
            <w:bottom w:w="15" w:type="dxa"/>
            <w:right w:w="15" w:type="dxa"/>
          </w:tblCellMar>
        </w:tblPrEx>
        <w:trPr>
          <w:trHeight w:val="615" w:hRule="atLeast"/>
        </w:trPr>
        <w:tc>
          <w:tcPr>
            <w:tcW w:w="5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80" w:firstLineChars="200"/>
              <w:textAlignment w:val="center"/>
              <w:rPr>
                <w:rFonts w:hint="default"/>
                <w:color w:val="000000"/>
                <w:sz w:val="24"/>
              </w:rPr>
            </w:pPr>
          </w:p>
        </w:tc>
        <w:tc>
          <w:tcPr>
            <w:tcW w:w="51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olor w:val="000000"/>
                <w:sz w:val="22"/>
                <w:szCs w:val="22"/>
              </w:rPr>
            </w:pPr>
          </w:p>
        </w:tc>
        <w:tc>
          <w:tcPr>
            <w:tcW w:w="2411" w:type="dxa"/>
            <w:tcBorders>
              <w:top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ascii="宋体" w:hAnsi="宋体"/>
                <w:color w:val="000000"/>
                <w:sz w:val="22"/>
                <w:szCs w:val="22"/>
              </w:rPr>
            </w:pPr>
          </w:p>
        </w:tc>
      </w:tr>
      <w:tr>
        <w:tblPrEx>
          <w:tblCellMar>
            <w:top w:w="15" w:type="dxa"/>
            <w:left w:w="15" w:type="dxa"/>
            <w:bottom w:w="15" w:type="dxa"/>
            <w:right w:w="15" w:type="dxa"/>
          </w:tblCellMar>
        </w:tblPrEx>
        <w:trPr>
          <w:trHeight w:val="615" w:hRule="atLeast"/>
        </w:trPr>
        <w:tc>
          <w:tcPr>
            <w:tcW w:w="5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480" w:firstLineChars="200"/>
              <w:textAlignment w:val="center"/>
              <w:rPr>
                <w:rFonts w:hint="default"/>
                <w:color w:val="000000"/>
                <w:sz w:val="24"/>
              </w:rPr>
            </w:pPr>
          </w:p>
        </w:tc>
        <w:tc>
          <w:tcPr>
            <w:tcW w:w="51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olor w:val="000000"/>
                <w:sz w:val="22"/>
                <w:szCs w:val="22"/>
              </w:rPr>
            </w:pPr>
          </w:p>
        </w:tc>
        <w:tc>
          <w:tcPr>
            <w:tcW w:w="2411" w:type="dxa"/>
            <w:tcBorders>
              <w:top w:val="single" w:color="000000" w:sz="4" w:space="0"/>
              <w:bottom w:val="single" w:color="000000" w:sz="4" w:space="0"/>
              <w:right w:val="single" w:color="000000" w:sz="4" w:space="0"/>
            </w:tcBorders>
          </w:tcPr>
          <w:p>
            <w:pPr>
              <w:keepNext w:val="0"/>
              <w:keepLines w:val="0"/>
              <w:suppressLineNumbers w:val="0"/>
              <w:spacing w:before="0" w:beforeAutospacing="0" w:after="0" w:afterAutospacing="0"/>
              <w:ind w:left="0" w:right="0"/>
              <w:rPr>
                <w:rFonts w:hint="default" w:ascii="宋体" w:hAnsi="宋体"/>
                <w:color w:val="000000"/>
                <w:sz w:val="22"/>
                <w:szCs w:val="22"/>
              </w:rPr>
            </w:pPr>
          </w:p>
        </w:tc>
      </w:tr>
    </w:tbl>
    <w:p>
      <w:pPr>
        <w:spacing w:line="360" w:lineRule="auto"/>
        <w:rPr>
          <w:sz w:val="24"/>
          <w:u w:val="single"/>
        </w:rPr>
      </w:pPr>
      <w:r>
        <w:rPr>
          <w:rFonts w:hint="eastAsia"/>
          <w:sz w:val="24"/>
        </w:rPr>
        <w:t>投标人代表签字:    日期：</w:t>
      </w:r>
    </w:p>
    <w:p>
      <w:pPr>
        <w:spacing w:line="360" w:lineRule="auto"/>
        <w:rPr>
          <w:b/>
          <w:bCs/>
          <w:sz w:val="18"/>
          <w:szCs w:val="18"/>
        </w:rPr>
        <w:sectPr>
          <w:pgSz w:w="16838" w:h="11906" w:orient="landscape"/>
          <w:pgMar w:top="1800" w:right="1440" w:bottom="1800" w:left="1440" w:header="851" w:footer="992" w:gutter="0"/>
          <w:cols w:space="720" w:num="1"/>
          <w:docGrid w:type="lines" w:linePitch="312" w:charSpace="0"/>
        </w:sectPr>
      </w:pPr>
      <w:r>
        <w:rPr>
          <w:rFonts w:hint="eastAsia"/>
          <w:b/>
          <w:bCs/>
          <w:sz w:val="18"/>
          <w:szCs w:val="18"/>
        </w:rPr>
        <w:t>除商务和技术偏差表里列出的偏差外，投标人响应招标文件的全部要求。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650734"/>
    <w:multiLevelType w:val="multilevel"/>
    <w:tmpl w:val="09650734"/>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
    <w:nsid w:val="4E264D66"/>
    <w:multiLevelType w:val="multilevel"/>
    <w:tmpl w:val="4E264D66"/>
    <w:lvl w:ilvl="0" w:tentative="0">
      <w:start w:val="1"/>
      <w:numFmt w:val="decimal"/>
      <w:pStyle w:val="2"/>
      <w:lvlText w:val="%1"/>
      <w:lvlJc w:val="left"/>
      <w:pPr>
        <w:ind w:left="432" w:hanging="432"/>
      </w:pPr>
      <w:rPr>
        <w:rFonts w:hint="default" w:eastAsia="宋体"/>
      </w:rPr>
    </w:lvl>
    <w:lvl w:ilvl="1" w:tentative="0">
      <w:start w:val="1"/>
      <w:numFmt w:val="decimal"/>
      <w:pStyle w:val="3"/>
      <w:lvlText w:val="%1.%2"/>
      <w:lvlJc w:val="left"/>
      <w:pPr>
        <w:ind w:left="576" w:hanging="576"/>
      </w:pPr>
      <w:rPr>
        <w:rFonts w:hint="eastAsia"/>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2">
    <w:nsid w:val="52E6179D"/>
    <w:multiLevelType w:val="multilevel"/>
    <w:tmpl w:val="52E6179D"/>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
    <w:nsid w:val="645E36C1"/>
    <w:multiLevelType w:val="multilevel"/>
    <w:tmpl w:val="645E36C1"/>
    <w:lvl w:ilvl="0" w:tentative="0">
      <w:start w:val="1"/>
      <w:numFmt w:val="bullet"/>
      <w:lvlText w:val=""/>
      <w:lvlJc w:val="left"/>
      <w:pPr>
        <w:ind w:left="902" w:hanging="420"/>
      </w:pPr>
      <w:rPr>
        <w:rFonts w:hint="default" w:ascii="Wingdings" w:hAnsi="Wingdings"/>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4">
    <w:nsid w:val="656EAD7E"/>
    <w:multiLevelType w:val="multilevel"/>
    <w:tmpl w:val="656EAD7E"/>
    <w:lvl w:ilvl="0" w:tentative="0">
      <w:start w:val="1"/>
      <w:numFmt w:val="decimal"/>
      <w:lvlText w:val="%1、"/>
      <w:lvlJc w:val="left"/>
      <w:pPr>
        <w:tabs>
          <w:tab w:val="left" w:pos="780"/>
        </w:tabs>
        <w:ind w:left="780" w:hanging="360"/>
      </w:pPr>
    </w:lvl>
    <w:lvl w:ilvl="1" w:tentative="0">
      <w:start w:val="7"/>
      <w:numFmt w:val="decimal"/>
      <w:lvlText w:val="%2"/>
      <w:lvlJc w:val="left"/>
      <w:pPr>
        <w:tabs>
          <w:tab w:val="left" w:pos="1200"/>
        </w:tabs>
        <w:ind w:left="120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6BFE4ED5"/>
    <w:multiLevelType w:val="multilevel"/>
    <w:tmpl w:val="6BFE4ED5"/>
    <w:lvl w:ilvl="0" w:tentative="0">
      <w:start w:val="1"/>
      <w:numFmt w:val="decimal"/>
      <w:lvlText w:val="%1）"/>
      <w:lvlJc w:val="left"/>
      <w:pPr>
        <w:ind w:left="840" w:hanging="360"/>
      </w:pPr>
      <w:rPr>
        <w:rFonts w:hint="default" w:ascii="Times New Roman" w:hAnsi="Times New Roman" w:cs="Times New Roman"/>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727B2566"/>
    <w:multiLevelType w:val="multilevel"/>
    <w:tmpl w:val="727B2566"/>
    <w:lvl w:ilvl="0" w:tentative="0">
      <w:start w:val="1"/>
      <w:numFmt w:val="decimal"/>
      <w:lvlText w:val="（%1）"/>
      <w:lvlJc w:val="left"/>
      <w:pPr>
        <w:tabs>
          <w:tab w:val="left" w:pos="1200"/>
        </w:tabs>
        <w:ind w:left="1200" w:hanging="720"/>
      </w:pPr>
      <w:rPr>
        <w:rFonts w:hint="eastAsia"/>
      </w:rPr>
    </w:lvl>
    <w:lvl w:ilvl="1" w:tentative="0">
      <w:start w:val="1"/>
      <w:numFmt w:val="decimal"/>
      <w:lvlText w:val="%2．"/>
      <w:lvlJc w:val="left"/>
      <w:pPr>
        <w:tabs>
          <w:tab w:val="left" w:pos="1260"/>
        </w:tabs>
        <w:ind w:left="1260" w:hanging="360"/>
      </w:pPr>
      <w:rPr>
        <w:rFonts w:hint="eastAsia"/>
        <w:u w:val="none"/>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7">
    <w:nsid w:val="755052CD"/>
    <w:multiLevelType w:val="multilevel"/>
    <w:tmpl w:val="755052CD"/>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8">
    <w:nsid w:val="769C12E4"/>
    <w:multiLevelType w:val="multilevel"/>
    <w:tmpl w:val="769C12E4"/>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1"/>
  </w:num>
  <w:num w:numId="2">
    <w:abstractNumId w:val="4"/>
    <w:lvlOverride w:ilvl="0">
      <w:startOverride w:val="1"/>
    </w:lvlOverride>
  </w:num>
  <w:num w:numId="3">
    <w:abstractNumId w:val="7"/>
  </w:num>
  <w:num w:numId="4">
    <w:abstractNumId w:val="3"/>
  </w:num>
  <w:num w:numId="5">
    <w:abstractNumId w:val="2"/>
  </w:num>
  <w:num w:numId="6">
    <w:abstractNumId w:val="8"/>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hZGIwMGQ2YmExMTFjODE0YmNiN2I2ZjExZDg5MzgifQ=="/>
  </w:docVars>
  <w:rsids>
    <w:rsidRoot w:val="00A51293"/>
    <w:rsid w:val="004A1255"/>
    <w:rsid w:val="00512786"/>
    <w:rsid w:val="007B0127"/>
    <w:rsid w:val="00A51293"/>
    <w:rsid w:val="00B943B2"/>
    <w:rsid w:val="00D3762F"/>
    <w:rsid w:val="00FA1A5E"/>
    <w:rsid w:val="05515214"/>
    <w:rsid w:val="07B6012A"/>
    <w:rsid w:val="07F37F8F"/>
    <w:rsid w:val="08113CA6"/>
    <w:rsid w:val="0B23364A"/>
    <w:rsid w:val="0CE14895"/>
    <w:rsid w:val="149755BB"/>
    <w:rsid w:val="191B237E"/>
    <w:rsid w:val="1D3E218A"/>
    <w:rsid w:val="1D7E6E67"/>
    <w:rsid w:val="1E0C1F4E"/>
    <w:rsid w:val="20BC73F1"/>
    <w:rsid w:val="23A37438"/>
    <w:rsid w:val="257C3F63"/>
    <w:rsid w:val="32E23E45"/>
    <w:rsid w:val="35C77E10"/>
    <w:rsid w:val="37A21BF3"/>
    <w:rsid w:val="3C900C34"/>
    <w:rsid w:val="3D01647A"/>
    <w:rsid w:val="3E970CA5"/>
    <w:rsid w:val="455D04B8"/>
    <w:rsid w:val="4E1D3FA7"/>
    <w:rsid w:val="53030A34"/>
    <w:rsid w:val="562005FF"/>
    <w:rsid w:val="5B867DEA"/>
    <w:rsid w:val="6C056E0D"/>
    <w:rsid w:val="6EAE1417"/>
    <w:rsid w:val="786E4521"/>
    <w:rsid w:val="7A96735D"/>
    <w:rsid w:val="7F9413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widowControl/>
      <w:numPr>
        <w:ilvl w:val="0"/>
        <w:numId w:val="1"/>
      </w:numPr>
      <w:tabs>
        <w:tab w:val="left" w:pos="0"/>
      </w:tabs>
      <w:adjustRightInd w:val="0"/>
      <w:snapToGrid w:val="0"/>
      <w:spacing w:line="360" w:lineRule="auto"/>
      <w:jc w:val="left"/>
      <w:outlineLvl w:val="0"/>
    </w:pPr>
    <w:rPr>
      <w:rFonts w:ascii="Times New Roman" w:hAnsi="Times New Roman" w:cs="Times New Roman" w:eastAsiaTheme="majorEastAsia"/>
      <w:b/>
      <w:bCs/>
      <w:kern w:val="44"/>
      <w:sz w:val="32"/>
      <w:szCs w:val="44"/>
    </w:rPr>
  </w:style>
  <w:style w:type="paragraph" w:styleId="3">
    <w:name w:val="heading 2"/>
    <w:basedOn w:val="1"/>
    <w:next w:val="4"/>
    <w:unhideWhenUsed/>
    <w:qFormat/>
    <w:uiPriority w:val="9"/>
    <w:pPr>
      <w:keepNext/>
      <w:keepLines/>
      <w:widowControl/>
      <w:numPr>
        <w:ilvl w:val="1"/>
        <w:numId w:val="1"/>
      </w:numPr>
      <w:adjustRightInd w:val="0"/>
      <w:spacing w:line="360" w:lineRule="auto"/>
      <w:jc w:val="left"/>
      <w:outlineLvl w:val="1"/>
    </w:pPr>
    <w:rPr>
      <w:rFonts w:ascii="Times New Roman" w:hAnsi="Times New Roman" w:cs="Times New Roman" w:eastAsiaTheme="majorEastAsia"/>
      <w:b/>
      <w:bCs/>
      <w:sz w:val="30"/>
      <w:szCs w:val="32"/>
    </w:rPr>
  </w:style>
  <w:style w:type="character" w:default="1" w:styleId="10">
    <w:name w:val="Default Paragraph Font"/>
    <w:unhideWhenUsed/>
    <w:qFormat/>
    <w:uiPriority w:val="1"/>
  </w:style>
  <w:style w:type="table" w:default="1" w:styleId="8">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customStyle="1" w:styleId="4">
    <w:name w:val="正文一"/>
    <w:basedOn w:val="1"/>
    <w:qFormat/>
    <w:uiPriority w:val="0"/>
    <w:pPr>
      <w:widowControl/>
      <w:spacing w:before="120" w:after="120" w:line="360" w:lineRule="auto"/>
      <w:ind w:firstLine="200" w:firstLineChars="200"/>
      <w:jc w:val="left"/>
    </w:pPr>
    <w:rPr>
      <w:rFonts w:ascii="Times New Roman" w:hAnsi="Times New Roman" w:eastAsia="宋体" w:cs="宋体"/>
      <w:szCs w:val="21"/>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rPr>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列出段落1"/>
    <w:basedOn w:val="1"/>
    <w:qFormat/>
    <w:uiPriority w:val="34"/>
    <w:pPr>
      <w:ind w:firstLine="420" w:firstLineChars="200"/>
    </w:pPr>
  </w:style>
  <w:style w:type="character" w:customStyle="1" w:styleId="12">
    <w:name w:val="font11"/>
    <w:basedOn w:val="10"/>
    <w:qFormat/>
    <w:uiPriority w:val="0"/>
    <w:rPr>
      <w:rFonts w:hint="eastAsia" w:ascii="宋体" w:hAnsi="宋体" w:eastAsia="宋体" w:cs="宋体"/>
      <w:color w:val="000000"/>
      <w:sz w:val="24"/>
      <w:szCs w:val="24"/>
      <w:u w:val="none"/>
    </w:rPr>
  </w:style>
  <w:style w:type="character" w:customStyle="1" w:styleId="13">
    <w:name w:val="页眉 Char"/>
    <w:basedOn w:val="10"/>
    <w:link w:val="6"/>
    <w:semiHidden/>
    <w:qFormat/>
    <w:uiPriority w:val="99"/>
    <w:rPr>
      <w:rFonts w:ascii="Times New Roman" w:hAnsi="Times New Roman"/>
      <w:kern w:val="2"/>
      <w:sz w:val="18"/>
      <w:szCs w:val="18"/>
    </w:rPr>
  </w:style>
  <w:style w:type="character" w:customStyle="1" w:styleId="14">
    <w:name w:val="页脚 Char"/>
    <w:basedOn w:val="10"/>
    <w:link w:val="5"/>
    <w:semiHidden/>
    <w:qFormat/>
    <w:uiPriority w:val="99"/>
    <w:rPr>
      <w:rFonts w:ascii="Times New Roman" w:hAnsi="Times New Roman"/>
      <w:kern w:val="2"/>
      <w:sz w:val="18"/>
      <w:szCs w:val="18"/>
    </w:rPr>
  </w:style>
  <w:style w:type="paragraph" w:customStyle="1" w:styleId="15">
    <w:name w:val="List Paragraph"/>
    <w:basedOn w:val="1"/>
    <w:qFormat/>
    <w:uiPriority w:val="34"/>
    <w:pPr>
      <w:ind w:firstLine="420" w:firstLineChars="200"/>
      <w:jc w:val="center"/>
    </w:pPr>
    <w:rPr>
      <w:rFonts w:ascii="Times New Roman" w:hAnsi="Times New Roman" w:eastAsia="宋体"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8</Pages>
  <Words>2268</Words>
  <Characters>2443</Characters>
  <Lines>16</Lines>
  <Paragraphs>4</Paragraphs>
  <TotalTime>0</TotalTime>
  <ScaleCrop>false</ScaleCrop>
  <LinksUpToDate>false</LinksUpToDate>
  <CharactersWithSpaces>2649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2021-11-02T08:16:00Z</dcterms:created>
  <dc:creator>lenovo</dc:creator>
  <cp:lastModifiedBy>90971</cp:lastModifiedBy>
  <dcterms:modified xsi:type="dcterms:W3CDTF">2023-12-13T06:26:35Z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C0DD7A3029F0455BB54846F11E670388_13</vt:lpwstr>
  </property>
</Properties>
</file>